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600" w:lineRule="exact"/>
        <w:ind w:left="0" w:firstLineChars="150" w:firstLine="660"/>
        <w:textAlignment w:val="auto"/>
        <w:rPr>
          <w:rFonts w:ascii="方正小标宋简体" w:eastAsia="方正小标宋简体" w:cs="方正小标宋简体" w:hAnsi="方正小标宋简体" w:hint="eastAsia"/>
          <w:b w:val="0"/>
          <w:bCs w:val="0"/>
          <w:color w:val="auto"/>
          <w:sz w:val="44"/>
          <w:szCs w:val="44"/>
        </w:rPr>
      </w:pPr>
      <w:r>
        <w:rPr>
          <w:rFonts w:ascii="方正小标宋简体" w:eastAsia="方正小标宋简体" w:cs="方正小标宋简体" w:hAnsi="方正小标宋简体" w:hint="eastAsia"/>
          <w:b w:val="0"/>
          <w:bCs w:val="0"/>
          <w:color w:val="auto"/>
          <w:sz w:val="44"/>
          <w:szCs w:val="44"/>
          <w:lang w:eastAsia="zh-CN"/>
        </w:rPr>
        <w:t>温州市</w:t>
      </w:r>
      <w:r>
        <w:rPr>
          <w:rFonts w:ascii="方正小标宋简体" w:eastAsia="方正小标宋简体" w:cs="方正小标宋简体" w:hAnsi="方正小标宋简体" w:hint="eastAsia"/>
          <w:b w:val="0"/>
          <w:bCs w:val="0"/>
          <w:color w:val="auto"/>
          <w:sz w:val="44"/>
          <w:szCs w:val="44"/>
        </w:rPr>
        <w:t>工程建设</w:t>
      </w:r>
      <w:r>
        <w:rPr>
          <w:rFonts w:ascii="方正小标宋简体" w:eastAsia="方正小标宋简体" w:cs="方正小标宋简体" w:hAnsi="方正小标宋简体" w:hint="eastAsia"/>
          <w:b w:val="0"/>
          <w:bCs w:val="0"/>
          <w:color w:val="auto"/>
          <w:sz w:val="44"/>
          <w:szCs w:val="44"/>
          <w:lang w:eastAsia="zh-CN"/>
        </w:rPr>
        <w:t>项目</w:t>
      </w:r>
      <w:r>
        <w:rPr>
          <w:rFonts w:ascii="方正小标宋简体" w:eastAsia="方正小标宋简体" w:cs="方正小标宋简体" w:hAnsi="方正小标宋简体" w:hint="eastAsia"/>
          <w:b w:val="0"/>
          <w:bCs w:val="0"/>
          <w:color w:val="auto"/>
          <w:sz w:val="44"/>
          <w:szCs w:val="44"/>
        </w:rPr>
        <w:t>投标</w:t>
      </w:r>
      <w:r>
        <w:rPr>
          <w:rFonts w:ascii="方正小标宋简体" w:eastAsia="方正小标宋简体" w:cs="方正小标宋简体" w:hAnsi="方正小标宋简体" w:hint="eastAsia"/>
          <w:b w:val="0"/>
          <w:bCs w:val="0"/>
          <w:color w:val="auto"/>
          <w:sz w:val="44"/>
          <w:szCs w:val="44"/>
          <w:lang w:eastAsia="zh-CN"/>
        </w:rPr>
        <w:t>人</w:t>
      </w:r>
      <w:r>
        <w:rPr>
          <w:rFonts w:ascii="方正小标宋简体" w:eastAsia="方正小标宋简体" w:cs="方正小标宋简体" w:hAnsi="方正小标宋简体" w:hint="eastAsia"/>
          <w:b w:val="0"/>
          <w:bCs w:val="0"/>
          <w:color w:val="auto"/>
          <w:sz w:val="44"/>
          <w:szCs w:val="44"/>
        </w:rPr>
        <w:t>不良行为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hAnsi="方正小标宋简体" w:hint="eastAsia"/>
          <w:sz w:val="44"/>
          <w:szCs w:val="44"/>
        </w:rPr>
      </w:pPr>
      <w:r>
        <w:rPr>
          <w:rFonts w:ascii="方正小标宋简体" w:eastAsia="方正小标宋简体" w:cs="方正小标宋简体" w:hAnsi="方正小标宋简体" w:hint="eastAsia"/>
          <w:b w:val="0"/>
          <w:bCs w:val="0"/>
          <w:color w:val="auto"/>
          <w:sz w:val="44"/>
          <w:szCs w:val="44"/>
          <w:lang w:eastAsia="zh-CN"/>
        </w:rPr>
        <w:t>信息</w:t>
      </w:r>
      <w:r>
        <w:rPr>
          <w:rFonts w:ascii="方正小标宋简体" w:eastAsia="方正小标宋简体" w:cs="方正小标宋简体" w:hAnsi="方正小标宋简体" w:hint="eastAsia"/>
          <w:b w:val="0"/>
          <w:bCs w:val="0"/>
          <w:color w:val="auto"/>
          <w:sz w:val="44"/>
          <w:szCs w:val="44"/>
        </w:rPr>
        <w:t>管理办法</w:t>
      </w:r>
      <w:r>
        <w:rPr>
          <w:rFonts w:ascii="方正小标宋简体" w:eastAsia="方正小标宋简体" w:cs="方正小标宋简体" w:hAnsi="方正小标宋简体" w:hint="eastAsia"/>
          <w:b w:val="0"/>
          <w:bCs w:val="0"/>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黑体" w:eastAsia="黑体" w:cs="黑体" w:hAnsi="黑体" w:hint="eastAsia"/>
          <w:b w:val="0"/>
          <w:bCs w:val="0"/>
          <w:color w:val="auto"/>
          <w:sz w:val="32"/>
          <w:szCs w:val="32"/>
          <w:lang w:eastAsia="zh-CN"/>
        </w:rPr>
        <w:t>第一条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lang w:eastAsia="zh-CN"/>
        </w:rPr>
        <w:t>为进一步</w:t>
      </w:r>
      <w:r>
        <w:rPr>
          <w:rFonts w:ascii="仿宋" w:eastAsia="仿宋" w:cs="仿宋" w:hAnsi="仿宋" w:hint="eastAsia"/>
          <w:b w:val="0"/>
          <w:bCs w:val="0"/>
          <w:color w:val="auto"/>
          <w:sz w:val="32"/>
          <w:szCs w:val="32"/>
          <w:lang w:val="en-US" w:eastAsia="zh-CN"/>
        </w:rPr>
        <w:t>营造公平、公正、诚实、守信的招标</w:t>
      </w:r>
      <w:bookmarkStart w:id="0" w:name="_GoBack"/>
      <w:bookmarkEnd w:id="0"/>
      <w:r>
        <w:rPr>
          <w:rFonts w:ascii="仿宋" w:eastAsia="仿宋" w:cs="仿宋" w:hAnsi="仿宋" w:hint="eastAsia"/>
          <w:b w:val="0"/>
          <w:bCs w:val="0"/>
          <w:color w:val="auto"/>
          <w:sz w:val="32"/>
          <w:szCs w:val="32"/>
          <w:lang w:val="en-US" w:eastAsia="zh-CN"/>
        </w:rPr>
        <w:t>投标市场环境，</w:t>
      </w:r>
      <w:r>
        <w:rPr>
          <w:rFonts w:ascii="仿宋" w:eastAsia="仿宋" w:cs="仿宋" w:hAnsi="仿宋" w:hint="eastAsia"/>
          <w:b w:val="0"/>
          <w:bCs w:val="0"/>
          <w:color w:val="auto"/>
          <w:sz w:val="32"/>
          <w:szCs w:val="32"/>
          <w:lang w:eastAsia="zh-CN"/>
        </w:rPr>
        <w:t>推进招投标诚信体系建设，约束工程建设项目投标人主体交易和履约行为，根据《中华人民共和国招标投标法》及其实施条例、</w:t>
      </w:r>
      <w:r>
        <w:rPr>
          <w:rFonts w:ascii="仿宋" w:eastAsia="仿宋" w:cs="仿宋" w:hAnsi="仿宋" w:hint="eastAsia"/>
          <w:b w:val="0"/>
          <w:bCs w:val="0"/>
          <w:color w:val="auto"/>
          <w:sz w:val="32"/>
          <w:szCs w:val="32"/>
        </w:rPr>
        <w:t>《国家发展改革委等部门关于严格执行招标投标法规制度进一步规范招标投标主体行为的若干意见》（发改法规规〔2022〕1117号）</w:t>
      </w:r>
      <w:r>
        <w:rPr>
          <w:rFonts w:ascii="仿宋" w:eastAsia="仿宋" w:cs="仿宋" w:hAnsi="仿宋" w:hint="eastAsia"/>
          <w:b w:val="0"/>
          <w:bCs w:val="0"/>
          <w:color w:val="auto"/>
          <w:sz w:val="32"/>
          <w:szCs w:val="32"/>
          <w:lang w:eastAsia="zh-CN"/>
        </w:rPr>
        <w:t>等文件精神，以及《</w:t>
      </w:r>
      <w:r>
        <w:rPr>
          <w:rFonts w:ascii="仿宋" w:eastAsia="仿宋" w:cs="仿宋" w:hAnsi="仿宋" w:hint="eastAsia"/>
          <w:b w:val="0"/>
          <w:bCs w:val="0"/>
          <w:color w:val="auto"/>
          <w:sz w:val="32"/>
          <w:szCs w:val="32"/>
          <w:lang w:val="en-US" w:eastAsia="zh-CN"/>
        </w:rPr>
        <w:t>2023年温州市社会信用体系建设工作要点</w:t>
      </w:r>
      <w:r>
        <w:rPr>
          <w:rFonts w:ascii="仿宋" w:eastAsia="仿宋" w:cs="仿宋" w:hAnsi="仿宋" w:hint="eastAsia"/>
          <w:b w:val="0"/>
          <w:bCs w:val="0"/>
          <w:color w:val="auto"/>
          <w:sz w:val="32"/>
          <w:szCs w:val="32"/>
          <w:lang w:eastAsia="zh-CN"/>
        </w:rPr>
        <w:t>》（温信用办〔20</w:t>
      </w:r>
      <w:r>
        <w:rPr>
          <w:rFonts w:ascii="仿宋" w:eastAsia="仿宋" w:cs="仿宋" w:hAnsi="仿宋" w:hint="eastAsia"/>
          <w:b w:val="0"/>
          <w:bCs w:val="0"/>
          <w:color w:val="auto"/>
          <w:sz w:val="32"/>
          <w:szCs w:val="32"/>
          <w:lang w:val="en-US" w:eastAsia="zh-CN"/>
        </w:rPr>
        <w:t>23</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lang w:val="en-US" w:eastAsia="zh-CN"/>
        </w:rPr>
        <w:t>1号</w:t>
      </w:r>
      <w:r>
        <w:rPr>
          <w:rFonts w:ascii="仿宋" w:eastAsia="仿宋" w:cs="仿宋" w:hAnsi="仿宋" w:hint="eastAsia"/>
          <w:b w:val="0"/>
          <w:bCs w:val="0"/>
          <w:color w:val="auto"/>
          <w:sz w:val="32"/>
          <w:szCs w:val="32"/>
          <w:lang w:eastAsia="zh-CN"/>
        </w:rPr>
        <w:t>）有关规定，结合我市实际，特制定本办法。</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黑体" w:eastAsia="黑体" w:cs="黑体" w:hAnsi="黑体" w:hint="eastAsia"/>
          <w:b w:val="0"/>
          <w:bCs w:val="0"/>
          <w:color w:val="auto"/>
          <w:sz w:val="32"/>
          <w:szCs w:val="32"/>
          <w:lang w:eastAsia="zh-CN"/>
        </w:rPr>
        <w:t>第二条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rPr>
        <w:t>本办法适用于进入</w:t>
      </w:r>
      <w:r>
        <w:rPr>
          <w:rFonts w:ascii="仿宋" w:eastAsia="仿宋" w:cs="仿宋" w:hAnsi="仿宋" w:hint="eastAsia"/>
          <w:b w:val="0"/>
          <w:bCs w:val="0"/>
          <w:color w:val="auto"/>
          <w:sz w:val="32"/>
          <w:szCs w:val="32"/>
          <w:lang w:eastAsia="zh-CN"/>
        </w:rPr>
        <w:t>温州</w:t>
      </w:r>
      <w:r>
        <w:rPr>
          <w:rFonts w:ascii="仿宋" w:eastAsia="仿宋" w:cs="仿宋" w:hAnsi="仿宋" w:hint="eastAsia"/>
          <w:b w:val="0"/>
          <w:bCs w:val="0"/>
          <w:color w:val="auto"/>
          <w:sz w:val="32"/>
          <w:szCs w:val="32"/>
        </w:rPr>
        <w:t>市</w:t>
      </w:r>
      <w:r>
        <w:rPr>
          <w:rFonts w:ascii="仿宋" w:eastAsia="仿宋" w:cs="仿宋" w:hAnsi="仿宋" w:hint="eastAsia"/>
          <w:b w:val="0"/>
          <w:bCs w:val="0"/>
          <w:color w:val="auto"/>
          <w:sz w:val="32"/>
          <w:szCs w:val="32"/>
          <w:lang w:eastAsia="zh-CN"/>
        </w:rPr>
        <w:t>各级</w:t>
      </w:r>
      <w:r>
        <w:rPr>
          <w:rFonts w:ascii="仿宋" w:eastAsia="仿宋" w:cs="仿宋" w:hAnsi="仿宋" w:hint="eastAsia"/>
          <w:b w:val="0"/>
          <w:bCs w:val="0"/>
          <w:color w:val="auto"/>
          <w:sz w:val="32"/>
          <w:szCs w:val="32"/>
        </w:rPr>
        <w:t>公共资源交易平台参与工程建设项目</w:t>
      </w:r>
      <w:r>
        <w:rPr>
          <w:rFonts w:ascii="仿宋" w:eastAsia="仿宋" w:cs="仿宋" w:hAnsi="仿宋" w:hint="eastAsia"/>
          <w:b w:val="0"/>
          <w:bCs w:val="0"/>
          <w:color w:val="auto"/>
          <w:sz w:val="32"/>
          <w:szCs w:val="32"/>
          <w:lang w:eastAsia="zh-CN"/>
        </w:rPr>
        <w:t>招标投标</w:t>
      </w:r>
      <w:r>
        <w:rPr>
          <w:rFonts w:ascii="仿宋" w:eastAsia="仿宋" w:cs="仿宋" w:hAnsi="仿宋" w:hint="eastAsia"/>
          <w:b w:val="0"/>
          <w:bCs w:val="0"/>
          <w:color w:val="auto"/>
          <w:sz w:val="32"/>
          <w:szCs w:val="32"/>
        </w:rPr>
        <w:t>活动的投标人不良行为信息</w:t>
      </w:r>
      <w:r>
        <w:rPr>
          <w:rFonts w:ascii="仿宋" w:eastAsia="仿宋" w:cs="仿宋" w:hAnsi="仿宋" w:hint="eastAsia"/>
          <w:b w:val="0"/>
          <w:bCs w:val="0"/>
          <w:color w:val="auto"/>
          <w:sz w:val="32"/>
          <w:szCs w:val="32"/>
          <w:lang w:eastAsia="zh-CN"/>
        </w:rPr>
        <w:t>的</w:t>
      </w:r>
      <w:r>
        <w:rPr>
          <w:rFonts w:ascii="仿宋" w:eastAsia="仿宋" w:cs="仿宋" w:hAnsi="仿宋" w:hint="eastAsia"/>
          <w:b w:val="0"/>
          <w:bCs w:val="0"/>
          <w:color w:val="auto"/>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仿宋" w:eastAsia="仿宋" w:cs="仿宋" w:hAnsi="仿宋" w:hint="eastAsia"/>
          <w:b w:val="0"/>
          <w:bCs w:val="0"/>
          <w:color w:val="auto"/>
          <w:sz w:val="32"/>
          <w:szCs w:val="32"/>
        </w:rPr>
        <w:t>本办法所称不良行为是指投标人在工程建设</w:t>
      </w:r>
      <w:r>
        <w:rPr>
          <w:rFonts w:ascii="仿宋" w:eastAsia="仿宋" w:cs="仿宋" w:hAnsi="仿宋" w:hint="eastAsia"/>
          <w:b w:val="0"/>
          <w:bCs w:val="0"/>
          <w:color w:val="auto"/>
          <w:sz w:val="32"/>
          <w:szCs w:val="32"/>
          <w:lang w:eastAsia="zh-CN"/>
        </w:rPr>
        <w:t>项</w:t>
      </w:r>
      <w:r>
        <w:rPr>
          <w:rFonts w:ascii="仿宋" w:eastAsia="仿宋" w:cs="仿宋" w:hAnsi="仿宋" w:hint="eastAsia"/>
          <w:b w:val="0"/>
          <w:bCs w:val="0"/>
          <w:color w:val="auto"/>
          <w:sz w:val="32"/>
          <w:szCs w:val="32"/>
        </w:rPr>
        <w:t>目</w:t>
      </w:r>
      <w:r>
        <w:rPr>
          <w:rFonts w:ascii="仿宋" w:eastAsia="仿宋" w:cs="仿宋" w:hAnsi="仿宋" w:hint="eastAsia"/>
          <w:b w:val="0"/>
          <w:bCs w:val="0"/>
          <w:color w:val="auto"/>
          <w:sz w:val="32"/>
          <w:szCs w:val="32"/>
          <w:lang w:eastAsia="zh-CN"/>
        </w:rPr>
        <w:t>招标投标</w:t>
      </w:r>
      <w:r>
        <w:rPr>
          <w:rFonts w:ascii="仿宋" w:eastAsia="仿宋" w:cs="仿宋" w:hAnsi="仿宋" w:hint="eastAsia"/>
          <w:b w:val="0"/>
          <w:bCs w:val="0"/>
          <w:color w:val="auto"/>
          <w:sz w:val="32"/>
          <w:szCs w:val="32"/>
        </w:rPr>
        <w:t>活动或合同履约过程中</w:t>
      </w:r>
      <w:r>
        <w:rPr>
          <w:rFonts w:ascii="仿宋" w:eastAsia="仿宋" w:cs="仿宋" w:hAnsi="仿宋" w:hint="eastAsia"/>
          <w:b w:val="0"/>
          <w:bCs w:val="0"/>
          <w:color w:val="auto"/>
          <w:sz w:val="32"/>
          <w:szCs w:val="32"/>
          <w:lang w:eastAsia="zh-CN"/>
        </w:rPr>
        <w:t>的违法违规行为，包括轻微</w:t>
      </w:r>
      <w:r>
        <w:rPr>
          <w:rFonts w:ascii="仿宋" w:eastAsia="仿宋" w:cs="仿宋" w:hAnsi="仿宋" w:hint="eastAsia"/>
          <w:b w:val="0"/>
          <w:bCs w:val="0"/>
          <w:color w:val="auto"/>
          <w:sz w:val="32"/>
          <w:szCs w:val="32"/>
        </w:rPr>
        <w:t>违反法律、法规</w:t>
      </w:r>
      <w:r>
        <w:rPr>
          <w:rFonts w:ascii="仿宋" w:eastAsia="仿宋" w:cs="仿宋" w:hAnsi="仿宋" w:hint="eastAsia"/>
          <w:b w:val="0"/>
          <w:bCs w:val="0"/>
          <w:color w:val="auto"/>
          <w:sz w:val="32"/>
          <w:szCs w:val="32"/>
          <w:lang w:eastAsia="zh-CN"/>
        </w:rPr>
        <w:t>规定，违反</w:t>
      </w:r>
      <w:r>
        <w:rPr>
          <w:rFonts w:ascii="仿宋" w:eastAsia="仿宋" w:cs="仿宋" w:hAnsi="仿宋" w:hint="eastAsia"/>
          <w:b w:val="0"/>
          <w:bCs w:val="0"/>
          <w:color w:val="auto"/>
          <w:sz w:val="32"/>
          <w:szCs w:val="32"/>
        </w:rPr>
        <w:t>规章及规范性文件的规定</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以及其他扰乱市场秩序的行为。</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黑体" w:eastAsia="黑体" w:cs="黑体" w:hAnsi="黑体" w:hint="eastAsia"/>
          <w:b w:val="0"/>
          <w:bCs w:val="0"/>
          <w:color w:val="auto"/>
          <w:sz w:val="32"/>
          <w:szCs w:val="32"/>
          <w:lang w:eastAsia="zh-CN"/>
        </w:rPr>
        <w:t>第三条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rPr>
        <w:t>市</w:t>
      </w:r>
      <w:r>
        <w:rPr>
          <w:rFonts w:ascii="仿宋" w:eastAsia="仿宋" w:cs="仿宋" w:hAnsi="仿宋" w:hint="eastAsia"/>
          <w:b w:val="0"/>
          <w:bCs w:val="0"/>
          <w:color w:val="auto"/>
          <w:sz w:val="32"/>
          <w:szCs w:val="32"/>
          <w:lang w:eastAsia="zh-CN"/>
        </w:rPr>
        <w:t>公共资源交易管理委员会办公室和各县(市、区）公共资源交易综合管理部门</w:t>
      </w:r>
      <w:r>
        <w:rPr>
          <w:rFonts w:ascii="仿宋" w:eastAsia="仿宋" w:cs="仿宋" w:hAnsi="仿宋" w:hint="eastAsia"/>
          <w:b w:val="0"/>
          <w:bCs w:val="0"/>
          <w:color w:val="auto"/>
          <w:sz w:val="32"/>
          <w:szCs w:val="32"/>
        </w:rPr>
        <w:t>为不良行为信息</w:t>
      </w:r>
      <w:r>
        <w:rPr>
          <w:rFonts w:ascii="仿宋" w:eastAsia="仿宋" w:cs="仿宋" w:hAnsi="仿宋" w:hint="eastAsia"/>
          <w:b w:val="0"/>
          <w:bCs w:val="0"/>
          <w:color w:val="auto"/>
          <w:sz w:val="32"/>
          <w:szCs w:val="32"/>
          <w:lang w:eastAsia="zh-CN"/>
        </w:rPr>
        <w:t>管理</w:t>
      </w:r>
      <w:r>
        <w:rPr>
          <w:rFonts w:ascii="仿宋" w:eastAsia="仿宋" w:cs="仿宋" w:hAnsi="仿宋" w:hint="eastAsia"/>
          <w:b w:val="0"/>
          <w:bCs w:val="0"/>
          <w:color w:val="auto"/>
          <w:sz w:val="32"/>
          <w:szCs w:val="32"/>
        </w:rPr>
        <w:t>责任部门</w:t>
      </w:r>
      <w:r>
        <w:rPr>
          <w:rFonts w:ascii="仿宋" w:eastAsia="仿宋" w:cs="仿宋" w:hAnsi="仿宋" w:hint="eastAsia"/>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eastAsia="zh-CN"/>
        </w:rPr>
      </w:pPr>
      <w:r>
        <w:rPr>
          <w:rFonts w:ascii="黑体" w:eastAsia="黑体" w:cs="黑体" w:hAnsi="黑体" w:hint="eastAsia"/>
          <w:b w:val="0"/>
          <w:bCs w:val="0"/>
          <w:color w:val="auto"/>
          <w:sz w:val="32"/>
          <w:szCs w:val="32"/>
          <w:lang w:eastAsia="zh-CN"/>
        </w:rPr>
        <w:t>第四条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rPr>
        <w:t>市</w:t>
      </w:r>
      <w:r>
        <w:rPr>
          <w:rFonts w:ascii="仿宋" w:eastAsia="仿宋" w:cs="仿宋" w:hAnsi="仿宋" w:hint="eastAsia"/>
          <w:b w:val="0"/>
          <w:bCs w:val="0"/>
          <w:color w:val="auto"/>
          <w:sz w:val="32"/>
          <w:szCs w:val="32"/>
          <w:lang w:eastAsia="zh-CN"/>
        </w:rPr>
        <w:t>本级和各县(市、区）</w:t>
      </w:r>
      <w:r>
        <w:rPr>
          <w:rFonts w:ascii="仿宋" w:eastAsia="仿宋" w:cs="仿宋" w:hAnsi="仿宋" w:hint="eastAsia"/>
          <w:b w:val="0"/>
          <w:bCs w:val="0"/>
          <w:color w:val="auto"/>
          <w:sz w:val="32"/>
          <w:szCs w:val="32"/>
        </w:rPr>
        <w:t>公共资源交易中心、有关</w:t>
      </w:r>
      <w:r>
        <w:rPr>
          <w:rFonts w:ascii="仿宋" w:eastAsia="仿宋" w:cs="仿宋" w:hAnsi="仿宋" w:hint="eastAsia"/>
          <w:b w:val="0"/>
          <w:bCs w:val="0"/>
          <w:color w:val="auto"/>
          <w:sz w:val="32"/>
          <w:szCs w:val="32"/>
          <w:lang w:eastAsia="zh-CN"/>
        </w:rPr>
        <w:t>行业主管</w:t>
      </w:r>
      <w:r>
        <w:rPr>
          <w:rFonts w:ascii="仿宋" w:eastAsia="仿宋" w:cs="仿宋" w:hAnsi="仿宋" w:hint="eastAsia"/>
          <w:b w:val="0"/>
          <w:bCs w:val="0"/>
          <w:color w:val="auto"/>
          <w:sz w:val="32"/>
          <w:szCs w:val="32"/>
        </w:rPr>
        <w:t>部门</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招标人、招标代理机构、评标</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评审</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专家等</w:t>
      </w:r>
      <w:r>
        <w:rPr>
          <w:rFonts w:ascii="仿宋" w:eastAsia="仿宋" w:cs="仿宋" w:hAnsi="仿宋" w:hint="eastAsia"/>
          <w:b w:val="0"/>
          <w:bCs w:val="0"/>
          <w:color w:val="auto"/>
          <w:sz w:val="32"/>
          <w:szCs w:val="32"/>
          <w:lang w:eastAsia="zh-CN"/>
        </w:rPr>
        <w:t>，在招标投标活动</w:t>
      </w:r>
      <w:r>
        <w:rPr>
          <w:rFonts w:ascii="仿宋" w:eastAsia="仿宋" w:cs="仿宋" w:hAnsi="仿宋" w:hint="eastAsia"/>
          <w:b w:val="0"/>
          <w:bCs w:val="0"/>
          <w:color w:val="auto"/>
          <w:sz w:val="32"/>
          <w:szCs w:val="32"/>
        </w:rPr>
        <w:t>、标后检查或日常管理过程中</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发现《工程建设</w:t>
      </w:r>
      <w:r>
        <w:rPr>
          <w:rFonts w:ascii="仿宋" w:eastAsia="仿宋" w:cs="仿宋" w:hAnsi="仿宋" w:hint="eastAsia"/>
          <w:b w:val="0"/>
          <w:bCs w:val="0"/>
          <w:color w:val="auto"/>
          <w:sz w:val="32"/>
          <w:szCs w:val="32"/>
          <w:lang w:eastAsia="zh-CN"/>
        </w:rPr>
        <w:t>项目</w:t>
      </w:r>
      <w:r>
        <w:rPr>
          <w:rFonts w:ascii="仿宋" w:eastAsia="仿宋" w:cs="仿宋" w:hAnsi="仿宋" w:hint="eastAsia"/>
          <w:b w:val="0"/>
          <w:bCs w:val="0"/>
          <w:color w:val="auto"/>
          <w:sz w:val="32"/>
          <w:szCs w:val="32"/>
        </w:rPr>
        <w:t>投标</w:t>
      </w:r>
      <w:r>
        <w:rPr>
          <w:rFonts w:ascii="仿宋" w:eastAsia="仿宋" w:cs="仿宋" w:hAnsi="仿宋" w:hint="eastAsia"/>
          <w:b w:val="0"/>
          <w:bCs w:val="0"/>
          <w:color w:val="auto"/>
          <w:sz w:val="32"/>
          <w:szCs w:val="32"/>
          <w:lang w:eastAsia="zh-CN"/>
        </w:rPr>
        <w:t>人</w:t>
      </w:r>
      <w:r>
        <w:rPr>
          <w:rFonts w:ascii="仿宋" w:eastAsia="仿宋" w:cs="仿宋" w:hAnsi="仿宋" w:hint="eastAsia"/>
          <w:b w:val="0"/>
          <w:bCs w:val="0"/>
          <w:color w:val="auto"/>
          <w:sz w:val="32"/>
          <w:szCs w:val="32"/>
        </w:rPr>
        <w:t>交易履约不良行为记分和公示期基准》（</w:t>
      </w:r>
      <w:r>
        <w:rPr>
          <w:rFonts w:ascii="仿宋" w:eastAsia="仿宋" w:cs="仿宋" w:hAnsi="仿宋" w:hint="eastAsia"/>
          <w:b w:val="0"/>
          <w:bCs w:val="0"/>
          <w:color w:val="auto"/>
          <w:sz w:val="32"/>
          <w:szCs w:val="32"/>
          <w:lang w:eastAsia="zh-CN"/>
        </w:rPr>
        <w:t>见</w:t>
      </w:r>
      <w:r>
        <w:rPr>
          <w:rFonts w:ascii="仿宋" w:eastAsia="仿宋" w:cs="仿宋" w:hAnsi="仿宋" w:hint="eastAsia"/>
          <w:b w:val="0"/>
          <w:bCs w:val="0"/>
          <w:color w:val="auto"/>
          <w:sz w:val="32"/>
          <w:szCs w:val="32"/>
        </w:rPr>
        <w:t>附</w:t>
      </w:r>
      <w:r>
        <w:rPr>
          <w:rFonts w:ascii="仿宋" w:eastAsia="仿宋" w:cs="仿宋" w:hAnsi="仿宋" w:hint="eastAsia"/>
          <w:b w:val="0"/>
          <w:bCs w:val="0"/>
          <w:color w:val="auto"/>
          <w:sz w:val="32"/>
          <w:szCs w:val="32"/>
          <w:lang w:eastAsia="zh-CN"/>
        </w:rPr>
        <w:t>表</w:t>
      </w:r>
      <w:r>
        <w:rPr>
          <w:rFonts w:ascii="仿宋" w:eastAsia="仿宋" w:cs="仿宋" w:hAnsi="仿宋" w:hint="eastAsia"/>
          <w:b w:val="0"/>
          <w:bCs w:val="0"/>
          <w:color w:val="auto"/>
          <w:sz w:val="32"/>
          <w:szCs w:val="32"/>
        </w:rPr>
        <w:t>）所列情形</w:t>
      </w:r>
      <w:r>
        <w:rPr>
          <w:rFonts w:ascii="仿宋" w:eastAsia="仿宋" w:cs="仿宋" w:hAnsi="仿宋" w:hint="eastAsia"/>
          <w:b w:val="0"/>
          <w:bCs w:val="0"/>
          <w:color w:val="auto"/>
          <w:sz w:val="32"/>
          <w:szCs w:val="32"/>
          <w:lang w:eastAsia="zh-CN"/>
        </w:rPr>
        <w:t>的，</w:t>
      </w:r>
      <w:r>
        <w:rPr>
          <w:rFonts w:ascii="仿宋" w:eastAsia="仿宋" w:cs="仿宋" w:hAnsi="仿宋" w:hint="eastAsia"/>
          <w:b w:val="0"/>
          <w:bCs w:val="0"/>
          <w:color w:val="auto"/>
          <w:sz w:val="32"/>
          <w:szCs w:val="32"/>
        </w:rPr>
        <w:t>应当向</w:t>
      </w:r>
      <w:r>
        <w:rPr>
          <w:rFonts w:ascii="仿宋" w:eastAsia="仿宋" w:cs="仿宋" w:hAnsi="仿宋" w:hint="eastAsia"/>
          <w:b w:val="0"/>
          <w:bCs w:val="0"/>
          <w:color w:val="auto"/>
          <w:sz w:val="32"/>
          <w:szCs w:val="32"/>
          <w:lang w:eastAsia="zh-CN"/>
        </w:rPr>
        <w:t>工程属地</w:t>
      </w:r>
      <w:r>
        <w:rPr>
          <w:rFonts w:ascii="仿宋" w:eastAsia="仿宋" w:cs="仿宋" w:hAnsi="仿宋" w:hint="eastAsia"/>
          <w:b w:val="0"/>
          <w:bCs w:val="0"/>
          <w:color w:val="auto"/>
          <w:sz w:val="32"/>
          <w:szCs w:val="32"/>
        </w:rPr>
        <w:t>公共</w:t>
      </w:r>
      <w:r>
        <w:rPr>
          <w:rFonts w:ascii="仿宋" w:eastAsia="仿宋" w:cs="仿宋" w:hAnsi="仿宋" w:hint="eastAsia"/>
          <w:b w:val="0"/>
          <w:bCs w:val="0"/>
          <w:color w:val="auto"/>
          <w:sz w:val="32"/>
          <w:szCs w:val="32"/>
          <w:lang w:eastAsia="zh-CN"/>
        </w:rPr>
        <w:t>资源交易综合管理部门</w:t>
      </w:r>
      <w:r>
        <w:rPr>
          <w:rFonts w:ascii="仿宋" w:eastAsia="仿宋" w:cs="仿宋" w:hAnsi="仿宋" w:hint="eastAsia"/>
          <w:b w:val="0"/>
          <w:bCs w:val="0"/>
          <w:color w:val="auto"/>
          <w:sz w:val="32"/>
          <w:szCs w:val="32"/>
          <w:lang w:val="en-US" w:eastAsia="zh-CN"/>
        </w:rPr>
        <w:t>提交</w:t>
      </w:r>
      <w:r>
        <w:rPr>
          <w:rFonts w:ascii="仿宋" w:eastAsia="仿宋" w:cs="仿宋" w:hAnsi="仿宋" w:hint="eastAsia"/>
          <w:b w:val="0"/>
          <w:bCs w:val="0"/>
          <w:color w:val="auto"/>
          <w:sz w:val="32"/>
          <w:szCs w:val="32"/>
          <w:lang w:eastAsia="zh-CN"/>
        </w:rPr>
        <w:t>不良行为信息及</w:t>
      </w:r>
      <w:r>
        <w:rPr>
          <w:rFonts w:ascii="仿宋" w:eastAsia="仿宋" w:cs="仿宋" w:hAnsi="仿宋" w:hint="eastAsia"/>
          <w:b w:val="0"/>
          <w:bCs w:val="0"/>
          <w:color w:val="auto"/>
          <w:sz w:val="32"/>
          <w:szCs w:val="32"/>
        </w:rPr>
        <w:t>相关</w:t>
      </w:r>
      <w:r>
        <w:rPr>
          <w:rFonts w:ascii="仿宋" w:eastAsia="仿宋" w:cs="仿宋" w:hAnsi="仿宋" w:hint="eastAsia"/>
          <w:b w:val="0"/>
          <w:bCs w:val="0"/>
          <w:color w:val="auto"/>
          <w:sz w:val="32"/>
          <w:szCs w:val="32"/>
          <w:lang w:eastAsia="zh-CN"/>
        </w:rPr>
        <w:t>佐证</w:t>
      </w:r>
      <w:r>
        <w:rPr>
          <w:rFonts w:ascii="仿宋" w:eastAsia="仿宋" w:cs="仿宋" w:hAnsi="仿宋" w:hint="eastAsia"/>
          <w:b w:val="0"/>
          <w:bCs w:val="0"/>
          <w:color w:val="auto"/>
          <w:sz w:val="32"/>
          <w:szCs w:val="32"/>
        </w:rPr>
        <w:t>材料</w:t>
      </w:r>
      <w:r>
        <w:rPr>
          <w:rFonts w:ascii="仿宋" w:eastAsia="仿宋" w:cs="仿宋" w:hAnsi="仿宋" w:hint="eastAsia"/>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val="en-US" w:eastAsia="zh-CN"/>
        </w:rPr>
      </w:pPr>
      <w:r>
        <w:rPr>
          <w:rFonts w:ascii="黑体" w:eastAsia="黑体" w:cs="黑体" w:hAnsi="黑体" w:hint="eastAsia"/>
          <w:b w:val="0"/>
          <w:bCs w:val="0"/>
          <w:color w:val="auto"/>
          <w:sz w:val="32"/>
          <w:szCs w:val="32"/>
          <w:lang w:eastAsia="zh-CN"/>
        </w:rPr>
        <w:t>第五条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rPr>
        <w:t>市</w:t>
      </w:r>
      <w:r>
        <w:rPr>
          <w:rFonts w:ascii="仿宋" w:eastAsia="仿宋" w:cs="仿宋" w:hAnsi="仿宋" w:hint="eastAsia"/>
          <w:b w:val="0"/>
          <w:bCs w:val="0"/>
          <w:color w:val="auto"/>
          <w:sz w:val="32"/>
          <w:szCs w:val="32"/>
          <w:lang w:eastAsia="zh-CN"/>
        </w:rPr>
        <w:t>公共资源交易管理委员会办公室和各县(市、区）公共资源交易综合管理部门根据本办法第七条确认不良行为信息后，按照附表</w:t>
      </w:r>
      <w:r>
        <w:rPr>
          <w:rFonts w:ascii="仿宋" w:eastAsia="仿宋" w:cs="仿宋" w:hAnsi="仿宋" w:hint="eastAsia"/>
          <w:b w:val="0"/>
          <w:bCs w:val="0"/>
          <w:color w:val="auto"/>
          <w:sz w:val="32"/>
          <w:szCs w:val="32"/>
        </w:rPr>
        <w:t>《工程建设</w:t>
      </w:r>
      <w:r>
        <w:rPr>
          <w:rFonts w:ascii="仿宋" w:eastAsia="仿宋" w:cs="仿宋" w:hAnsi="仿宋" w:hint="eastAsia"/>
          <w:b w:val="0"/>
          <w:bCs w:val="0"/>
          <w:color w:val="auto"/>
          <w:sz w:val="32"/>
          <w:szCs w:val="32"/>
          <w:lang w:eastAsia="zh-CN"/>
        </w:rPr>
        <w:t>项目</w:t>
      </w:r>
      <w:r>
        <w:rPr>
          <w:rFonts w:ascii="仿宋" w:eastAsia="仿宋" w:cs="仿宋" w:hAnsi="仿宋" w:hint="eastAsia"/>
          <w:b w:val="0"/>
          <w:bCs w:val="0"/>
          <w:color w:val="auto"/>
          <w:sz w:val="32"/>
          <w:szCs w:val="32"/>
        </w:rPr>
        <w:t>投标</w:t>
      </w:r>
      <w:r>
        <w:rPr>
          <w:rFonts w:ascii="仿宋" w:eastAsia="仿宋" w:cs="仿宋" w:hAnsi="仿宋" w:hint="eastAsia"/>
          <w:b w:val="0"/>
          <w:bCs w:val="0"/>
          <w:color w:val="auto"/>
          <w:sz w:val="32"/>
          <w:szCs w:val="32"/>
          <w:lang w:eastAsia="zh-CN"/>
        </w:rPr>
        <w:t>人</w:t>
      </w:r>
      <w:r>
        <w:rPr>
          <w:rFonts w:ascii="仿宋" w:eastAsia="仿宋" w:cs="仿宋" w:hAnsi="仿宋" w:hint="eastAsia"/>
          <w:b w:val="0"/>
          <w:bCs w:val="0"/>
          <w:color w:val="auto"/>
          <w:sz w:val="32"/>
          <w:szCs w:val="32"/>
        </w:rPr>
        <w:t>交易履约不良行为记分和公示期基准》</w:t>
      </w:r>
      <w:r>
        <w:rPr>
          <w:rFonts w:ascii="仿宋" w:eastAsia="仿宋" w:cs="仿宋" w:hAnsi="仿宋" w:hint="eastAsia"/>
          <w:b w:val="0"/>
          <w:bCs w:val="0"/>
          <w:color w:val="auto"/>
          <w:sz w:val="32"/>
          <w:szCs w:val="32"/>
          <w:lang w:eastAsia="zh-CN"/>
        </w:rPr>
        <w:t>予以记分管理，并</w:t>
      </w:r>
      <w:r>
        <w:rPr>
          <w:rFonts w:ascii="仿宋" w:eastAsia="仿宋" w:cs="仿宋" w:hAnsi="仿宋" w:hint="eastAsia"/>
          <w:b w:val="0"/>
          <w:bCs w:val="0"/>
          <w:color w:val="auto"/>
          <w:sz w:val="32"/>
          <w:szCs w:val="32"/>
          <w:lang w:val="en-US" w:eastAsia="zh-CN"/>
        </w:rPr>
        <w:t>将相关材料报送至市</w:t>
      </w:r>
      <w:r>
        <w:rPr>
          <w:rFonts w:ascii="仿宋" w:eastAsia="仿宋" w:cs="仿宋" w:hAnsi="仿宋" w:hint="eastAsia"/>
          <w:b w:val="0"/>
          <w:bCs w:val="0"/>
          <w:color w:val="auto"/>
          <w:sz w:val="32"/>
          <w:szCs w:val="32"/>
        </w:rPr>
        <w:t>公共资源交易</w:t>
      </w:r>
      <w:r>
        <w:rPr>
          <w:rFonts w:ascii="仿宋" w:eastAsia="仿宋" w:cs="仿宋" w:hAnsi="仿宋" w:hint="eastAsia"/>
          <w:b w:val="0"/>
          <w:bCs w:val="0"/>
          <w:color w:val="auto"/>
          <w:sz w:val="32"/>
          <w:szCs w:val="32"/>
          <w:lang w:val="en-US" w:eastAsia="zh-CN"/>
        </w:rPr>
        <w:t>信用综合平台</w:t>
      </w:r>
      <w:r>
        <w:rPr>
          <w:rFonts w:ascii="仿宋" w:eastAsia="仿宋" w:cs="仿宋" w:hAnsi="仿宋" w:hint="eastAsia"/>
          <w:b w:val="0"/>
          <w:bCs w:val="0"/>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Chars="200" w:firstLine="640"/>
        <w:jc w:val="left"/>
        <w:textAlignment w:val="auto"/>
        <w:rPr>
          <w:rFonts w:ascii="仿宋" w:eastAsia="仿宋" w:cs="仿宋" w:hAnsi="仿宋" w:hint="eastAsia"/>
          <w:b w:val="0"/>
          <w:bCs w:val="0"/>
          <w:color w:val="auto"/>
          <w:sz w:val="32"/>
          <w:szCs w:val="32"/>
          <w:lang w:eastAsia="zh-CN"/>
        </w:rPr>
      </w:pPr>
      <w:r>
        <w:rPr>
          <w:rFonts w:ascii="黑体" w:eastAsia="黑体" w:cs="黑体" w:hAnsi="黑体" w:hint="eastAsia"/>
          <w:b w:val="0"/>
          <w:bCs w:val="0"/>
          <w:color w:val="auto"/>
          <w:sz w:val="32"/>
          <w:szCs w:val="32"/>
          <w:lang w:eastAsia="zh-CN"/>
        </w:rPr>
        <w:t>第六条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rPr>
        <w:t>不良行为信息记录实行记分制,投标人每条不良行为信息记分周期为</w:t>
      </w:r>
      <w:r>
        <w:rPr>
          <w:rFonts w:ascii="仿宋" w:eastAsia="仿宋" w:cs="仿宋" w:hAnsi="仿宋" w:hint="eastAsia"/>
          <w:b w:val="0"/>
          <w:bCs w:val="0"/>
          <w:color w:val="auto"/>
          <w:sz w:val="32"/>
          <w:szCs w:val="32"/>
          <w:lang w:val="en-US" w:eastAsia="zh-CN"/>
          <w:highlight w:val="auto"/>
        </w:rPr>
        <w:t>2</w:t>
      </w:r>
      <w:r>
        <w:rPr>
          <w:rFonts w:ascii="仿宋" w:eastAsia="仿宋" w:cs="仿宋" w:hAnsi="仿宋" w:hint="eastAsia"/>
          <w:b w:val="0"/>
          <w:bCs w:val="0"/>
          <w:color w:val="auto"/>
          <w:sz w:val="32"/>
          <w:szCs w:val="32"/>
          <w:highlight w:val="auto"/>
        </w:rPr>
        <w:t>年</w:t>
      </w:r>
      <w:r>
        <w:rPr>
          <w:rFonts w:ascii="仿宋" w:eastAsia="仿宋" w:cs="仿宋" w:hAnsi="仿宋" w:hint="eastAsia"/>
          <w:b w:val="0"/>
          <w:bCs w:val="0"/>
          <w:color w:val="auto"/>
          <w:sz w:val="32"/>
          <w:szCs w:val="32"/>
          <w:lang w:eastAsia="zh-CN"/>
          <w:highlight w:val="auto"/>
        </w:rPr>
        <w:t>，以</w:t>
      </w:r>
      <w:r>
        <w:rPr>
          <w:rFonts w:ascii="仿宋" w:eastAsia="仿宋" w:cs="仿宋" w:hAnsi="仿宋" w:hint="eastAsia"/>
          <w:b w:val="0"/>
          <w:bCs w:val="0"/>
          <w:color w:val="auto"/>
          <w:sz w:val="32"/>
          <w:szCs w:val="32"/>
          <w:lang w:eastAsia="zh-CN"/>
        </w:rPr>
        <w:t>不良行为发生日或被处罚、通报等日期为起始日期。</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仿宋" w:eastAsia="仿宋" w:cs="仿宋" w:hAnsi="仿宋" w:hint="eastAsia"/>
          <w:b w:val="0"/>
          <w:bCs w:val="0"/>
          <w:color w:val="auto"/>
          <w:sz w:val="32"/>
          <w:szCs w:val="32"/>
          <w:lang w:eastAsia="zh-CN"/>
        </w:rPr>
        <w:t>同一单位或同一项目在</w:t>
      </w:r>
      <w:r>
        <w:rPr>
          <w:rFonts w:ascii="仿宋" w:eastAsia="仿宋" w:cs="仿宋" w:hAnsi="仿宋" w:hint="eastAsia"/>
          <w:b w:val="0"/>
          <w:bCs w:val="0"/>
          <w:color w:val="auto"/>
          <w:sz w:val="32"/>
          <w:szCs w:val="32"/>
        </w:rPr>
        <w:t>计分周期内</w:t>
      </w:r>
      <w:r>
        <w:rPr>
          <w:rFonts w:ascii="仿宋" w:eastAsia="仿宋" w:cs="仿宋" w:hAnsi="仿宋" w:hint="eastAsia"/>
          <w:b w:val="0"/>
          <w:bCs w:val="0"/>
          <w:color w:val="auto"/>
          <w:sz w:val="32"/>
          <w:szCs w:val="32"/>
          <w:lang w:eastAsia="zh-CN"/>
        </w:rPr>
        <w:t>如存在多项不良行为信息的，叠加计分</w:t>
      </w:r>
      <w:r>
        <w:rPr>
          <w:rFonts w:ascii="仿宋" w:eastAsia="仿宋" w:cs="仿宋" w:hAnsi="仿宋" w:hint="eastAsia"/>
          <w:b w:val="0"/>
          <w:bCs w:val="0"/>
          <w:color w:val="auto"/>
          <w:sz w:val="32"/>
          <w:szCs w:val="32"/>
        </w:rPr>
        <w:t>。记分周期到期，该条计分自动</w:t>
      </w:r>
      <w:r>
        <w:rPr>
          <w:rFonts w:ascii="仿宋" w:eastAsia="仿宋" w:cs="仿宋" w:hAnsi="仿宋" w:hint="eastAsia"/>
          <w:b w:val="0"/>
          <w:bCs w:val="0"/>
          <w:color w:val="auto"/>
          <w:sz w:val="32"/>
          <w:szCs w:val="32"/>
          <w:lang w:eastAsia="zh-CN"/>
        </w:rPr>
        <w:t>清零</w:t>
      </w:r>
      <w:r>
        <w:rPr>
          <w:rFonts w:ascii="仿宋" w:eastAsia="仿宋" w:cs="仿宋" w:hAnsi="仿宋" w:hint="eastAsia"/>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eastAsia="zh-CN"/>
        </w:rPr>
      </w:pPr>
      <w:r>
        <w:rPr>
          <w:rFonts w:ascii="仿宋" w:eastAsia="仿宋" w:cs="仿宋" w:hAnsi="仿宋" w:hint="eastAsia"/>
          <w:b w:val="0"/>
          <w:bCs w:val="0"/>
          <w:color w:val="auto"/>
          <w:sz w:val="32"/>
          <w:szCs w:val="32"/>
        </w:rPr>
        <w:t>不良行为信息公示期分别为1个月、3个月、6个月、12个月</w:t>
      </w:r>
      <w:r>
        <w:rPr>
          <w:rFonts w:ascii="仿宋" w:eastAsia="仿宋" w:cs="仿宋" w:hAnsi="仿宋" w:hint="eastAsia"/>
          <w:b w:val="0"/>
          <w:bCs w:val="0"/>
          <w:color w:val="auto"/>
          <w:sz w:val="32"/>
          <w:szCs w:val="32"/>
          <w:lang w:eastAsia="zh-CN"/>
        </w:rPr>
        <w:t>，视情选定期限。</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黑体" w:eastAsia="黑体" w:cs="黑体" w:hAnsi="黑体" w:hint="eastAsia"/>
          <w:b w:val="0"/>
          <w:bCs w:val="0"/>
          <w:color w:val="auto"/>
          <w:sz w:val="32"/>
          <w:szCs w:val="32"/>
          <w:lang w:eastAsia="zh-CN"/>
        </w:rPr>
        <w:t>第七条</w:t>
      </w:r>
      <w:r>
        <w:rPr>
          <w:rFonts w:ascii="仿宋" w:eastAsia="仿宋" w:cs="仿宋" w:hAnsi="仿宋" w:hint="eastAsia"/>
          <w:b w:val="0"/>
          <w:bCs w:val="0"/>
          <w:color w:val="auto"/>
          <w:sz w:val="32"/>
          <w:szCs w:val="32"/>
        </w:rPr>
        <w:t xml:space="preserve"> 不良行为信息</w:t>
      </w:r>
      <w:r>
        <w:rPr>
          <w:rFonts w:ascii="仿宋" w:eastAsia="仿宋" w:cs="仿宋" w:hAnsi="仿宋" w:hint="eastAsia"/>
          <w:b w:val="0"/>
          <w:bCs w:val="0"/>
          <w:color w:val="auto"/>
          <w:sz w:val="32"/>
          <w:szCs w:val="32"/>
          <w:lang w:eastAsia="zh-CN"/>
        </w:rPr>
        <w:t>记分</w:t>
      </w:r>
      <w:r>
        <w:rPr>
          <w:rFonts w:ascii="仿宋" w:eastAsia="仿宋" w:cs="仿宋" w:hAnsi="仿宋" w:hint="eastAsia"/>
          <w:b w:val="0"/>
          <w:bCs w:val="0"/>
          <w:color w:val="auto"/>
          <w:sz w:val="32"/>
          <w:szCs w:val="32"/>
        </w:rPr>
        <w:t>按照以下程序进行:</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仿宋" w:eastAsia="仿宋" w:cs="仿宋" w:hAnsi="仿宋" w:hint="eastAsia"/>
          <w:b w:val="0"/>
          <w:bCs w:val="0"/>
          <w:color w:val="auto"/>
          <w:sz w:val="32"/>
          <w:szCs w:val="32"/>
        </w:rPr>
        <w:t>(一)</w:t>
      </w:r>
      <w:r>
        <w:rPr>
          <w:rFonts w:ascii="仿宋" w:eastAsia="仿宋" w:cs="仿宋" w:hAnsi="仿宋" w:hint="eastAsia"/>
          <w:b w:val="0"/>
          <w:bCs w:val="0"/>
          <w:color w:val="auto"/>
          <w:sz w:val="32"/>
          <w:szCs w:val="32"/>
          <w:lang w:val="en-US" w:eastAsia="zh-CN"/>
        </w:rPr>
        <w:t>工</w:t>
      </w:r>
      <w:r>
        <w:rPr>
          <w:rFonts w:ascii="仿宋" w:eastAsia="仿宋" w:cs="仿宋" w:hAnsi="仿宋" w:hint="eastAsia"/>
          <w:b w:val="0"/>
          <w:bCs w:val="0"/>
          <w:color w:val="auto"/>
          <w:sz w:val="32"/>
          <w:szCs w:val="32"/>
          <w:lang w:eastAsia="zh-CN"/>
        </w:rPr>
        <w:t>程属地公共资源交易综合管理部门</w:t>
      </w:r>
      <w:r>
        <w:rPr>
          <w:rFonts w:ascii="仿宋" w:eastAsia="仿宋" w:cs="仿宋" w:hAnsi="仿宋" w:hint="eastAsia"/>
          <w:b w:val="0"/>
          <w:bCs w:val="0"/>
          <w:color w:val="auto"/>
          <w:sz w:val="32"/>
          <w:szCs w:val="32"/>
        </w:rPr>
        <w:t>收到反映的不良行为信息后,应在 2 个工作日内</w:t>
      </w:r>
      <w:r>
        <w:rPr>
          <w:rFonts w:ascii="仿宋" w:eastAsia="仿宋" w:cs="仿宋" w:hAnsi="仿宋" w:hint="eastAsia"/>
          <w:b w:val="0"/>
          <w:bCs w:val="0"/>
          <w:color w:val="auto"/>
          <w:sz w:val="32"/>
          <w:szCs w:val="32"/>
          <w:lang w:eastAsia="zh-CN"/>
        </w:rPr>
        <w:t>向</w:t>
      </w:r>
      <w:r>
        <w:rPr>
          <w:rFonts w:ascii="仿宋" w:eastAsia="仿宋" w:cs="仿宋" w:hAnsi="仿宋" w:hint="eastAsia"/>
          <w:b w:val="0"/>
          <w:bCs w:val="0"/>
          <w:color w:val="auto"/>
          <w:sz w:val="32"/>
          <w:szCs w:val="32"/>
        </w:rPr>
        <w:t>被记录不良行为投标人发</w:t>
      </w:r>
      <w:r>
        <w:rPr>
          <w:rFonts w:ascii="仿宋" w:eastAsia="仿宋" w:cs="仿宋" w:hAnsi="仿宋" w:hint="eastAsia"/>
          <w:b w:val="0"/>
          <w:bCs w:val="0"/>
          <w:color w:val="auto"/>
          <w:sz w:val="32"/>
          <w:szCs w:val="32"/>
          <w:lang w:eastAsia="zh-CN"/>
        </w:rPr>
        <w:t>函</w:t>
      </w:r>
      <w:r>
        <w:rPr>
          <w:rFonts w:ascii="仿宋" w:eastAsia="仿宋" w:cs="仿宋" w:hAnsi="仿宋" w:hint="eastAsia"/>
          <w:b w:val="0"/>
          <w:bCs w:val="0"/>
          <w:color w:val="auto"/>
          <w:sz w:val="32"/>
          <w:szCs w:val="32"/>
        </w:rPr>
        <w:t>告知</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告知函的送达可以采取邮寄、短信、电子邮</w:t>
      </w:r>
      <w:r>
        <w:rPr>
          <w:rFonts w:ascii="仿宋" w:eastAsia="仿宋" w:cs="仿宋" w:hAnsi="仿宋" w:hint="eastAsia"/>
          <w:b w:val="0"/>
          <w:bCs w:val="0"/>
          <w:color w:val="auto"/>
          <w:sz w:val="32"/>
          <w:szCs w:val="32"/>
          <w:lang w:eastAsia="zh-CN"/>
        </w:rPr>
        <w:t>件</w:t>
      </w:r>
      <w:r>
        <w:rPr>
          <w:rFonts w:ascii="仿宋" w:eastAsia="仿宋" w:cs="仿宋" w:hAnsi="仿宋" w:hint="eastAsia"/>
          <w:b w:val="0"/>
          <w:bCs w:val="0"/>
          <w:color w:val="auto"/>
          <w:sz w:val="32"/>
          <w:szCs w:val="32"/>
        </w:rPr>
        <w:t>等方式。</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仿宋" w:eastAsia="仿宋" w:cs="仿宋" w:hAnsi="仿宋" w:hint="eastAsia"/>
          <w:b w:val="0"/>
          <w:bCs w:val="0"/>
          <w:color w:val="auto"/>
          <w:sz w:val="32"/>
          <w:szCs w:val="32"/>
        </w:rPr>
        <w:t>(二)</w:t>
      </w:r>
      <w:r>
        <w:rPr>
          <w:rFonts w:ascii="仿宋" w:eastAsia="仿宋" w:cs="仿宋" w:hAnsi="仿宋" w:hint="eastAsia"/>
          <w:b w:val="0"/>
          <w:bCs w:val="0"/>
          <w:color w:val="auto"/>
          <w:sz w:val="32"/>
          <w:szCs w:val="32"/>
          <w:lang w:eastAsia="zh-CN"/>
        </w:rPr>
        <w:t>投标人</w:t>
      </w:r>
      <w:r>
        <w:rPr>
          <w:rFonts w:ascii="仿宋" w:eastAsia="仿宋" w:cs="仿宋" w:hAnsi="仿宋" w:hint="eastAsia"/>
          <w:b w:val="0"/>
          <w:bCs w:val="0"/>
          <w:color w:val="auto"/>
          <w:sz w:val="32"/>
          <w:szCs w:val="32"/>
        </w:rPr>
        <w:t>对不良行为信息</w:t>
      </w:r>
      <w:r>
        <w:rPr>
          <w:rFonts w:ascii="仿宋" w:eastAsia="仿宋" w:cs="仿宋" w:hAnsi="仿宋" w:hint="eastAsia"/>
          <w:b w:val="0"/>
          <w:bCs w:val="0"/>
          <w:color w:val="auto"/>
          <w:sz w:val="32"/>
          <w:szCs w:val="32"/>
          <w:lang w:eastAsia="zh-CN"/>
        </w:rPr>
        <w:t>不存在</w:t>
      </w:r>
      <w:r>
        <w:rPr>
          <w:rFonts w:ascii="仿宋" w:eastAsia="仿宋" w:cs="仿宋" w:hAnsi="仿宋" w:hint="eastAsia"/>
          <w:b w:val="0"/>
          <w:bCs w:val="0"/>
          <w:color w:val="auto"/>
          <w:sz w:val="32"/>
          <w:szCs w:val="32"/>
        </w:rPr>
        <w:t>异议的,</w:t>
      </w:r>
      <w:r>
        <w:rPr>
          <w:rFonts w:ascii="仿宋" w:eastAsia="仿宋" w:cs="仿宋" w:hAnsi="仿宋" w:hint="eastAsia"/>
          <w:b w:val="0"/>
          <w:bCs w:val="0"/>
          <w:color w:val="auto"/>
          <w:sz w:val="32"/>
          <w:szCs w:val="32"/>
          <w:lang w:eastAsia="zh-CN"/>
        </w:rPr>
        <w:t>或收到告知函后</w:t>
      </w:r>
      <w:r>
        <w:rPr>
          <w:rFonts w:ascii="仿宋" w:eastAsia="仿宋" w:cs="仿宋" w:hAnsi="仿宋" w:hint="eastAsia"/>
          <w:b w:val="0"/>
          <w:bCs w:val="0"/>
          <w:color w:val="auto"/>
          <w:sz w:val="32"/>
          <w:szCs w:val="32"/>
          <w:lang w:val="en-US" w:eastAsia="zh-CN"/>
        </w:rPr>
        <w:t>5个工作日内未回复的，视为无异议，工</w:t>
      </w:r>
      <w:r>
        <w:rPr>
          <w:rFonts w:ascii="仿宋" w:eastAsia="仿宋" w:cs="仿宋" w:hAnsi="仿宋" w:hint="eastAsia"/>
          <w:b w:val="0"/>
          <w:bCs w:val="0"/>
          <w:color w:val="auto"/>
          <w:sz w:val="32"/>
          <w:szCs w:val="32"/>
          <w:lang w:eastAsia="zh-CN"/>
        </w:rPr>
        <w:t>程属地公共资源交易综合管理部门对不良行为</w:t>
      </w:r>
      <w:r>
        <w:rPr>
          <w:rFonts w:ascii="仿宋" w:eastAsia="仿宋" w:cs="仿宋" w:hAnsi="仿宋" w:hint="eastAsia"/>
          <w:b w:val="0"/>
          <w:bCs w:val="0"/>
          <w:color w:val="auto"/>
          <w:sz w:val="32"/>
          <w:szCs w:val="32"/>
        </w:rPr>
        <w:t>信息</w:t>
      </w:r>
      <w:r>
        <w:rPr>
          <w:rFonts w:ascii="仿宋" w:eastAsia="仿宋" w:cs="仿宋" w:hAnsi="仿宋" w:hint="eastAsia"/>
          <w:b w:val="0"/>
          <w:bCs w:val="0"/>
          <w:color w:val="auto"/>
          <w:sz w:val="32"/>
          <w:szCs w:val="32"/>
          <w:lang w:eastAsia="zh-CN"/>
        </w:rPr>
        <w:t>予以计分</w:t>
      </w:r>
      <w:r>
        <w:rPr>
          <w:rFonts w:ascii="仿宋" w:eastAsia="仿宋" w:cs="仿宋" w:hAnsi="仿宋" w:hint="eastAsia"/>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仿宋" w:eastAsia="仿宋" w:cs="仿宋" w:hAnsi="仿宋" w:hint="eastAsia"/>
          <w:b w:val="0"/>
          <w:bCs w:val="0"/>
          <w:color w:val="auto"/>
          <w:sz w:val="32"/>
          <w:szCs w:val="32"/>
        </w:rPr>
        <w:t>(三)</w:t>
      </w:r>
      <w:r>
        <w:rPr>
          <w:rFonts w:ascii="仿宋" w:eastAsia="仿宋" w:cs="仿宋" w:hAnsi="仿宋" w:hint="eastAsia"/>
          <w:b w:val="0"/>
          <w:bCs w:val="0"/>
          <w:color w:val="auto"/>
          <w:sz w:val="32"/>
          <w:szCs w:val="32"/>
          <w:lang w:eastAsia="zh-CN"/>
        </w:rPr>
        <w:t>若投标人对</w:t>
      </w:r>
      <w:r>
        <w:rPr>
          <w:rFonts w:ascii="仿宋" w:eastAsia="仿宋" w:cs="仿宋" w:hAnsi="仿宋" w:hint="eastAsia"/>
          <w:b w:val="0"/>
          <w:bCs w:val="0"/>
          <w:color w:val="auto"/>
          <w:sz w:val="32"/>
          <w:szCs w:val="32"/>
        </w:rPr>
        <w:t>不良行为信息</w:t>
      </w:r>
      <w:r>
        <w:rPr>
          <w:rFonts w:ascii="仿宋" w:eastAsia="仿宋" w:cs="仿宋" w:hAnsi="仿宋" w:hint="eastAsia"/>
          <w:b w:val="0"/>
          <w:bCs w:val="0"/>
          <w:color w:val="auto"/>
          <w:sz w:val="32"/>
          <w:szCs w:val="32"/>
          <w:lang w:eastAsia="zh-CN"/>
        </w:rPr>
        <w:t>存在</w:t>
      </w:r>
      <w:r>
        <w:rPr>
          <w:rFonts w:ascii="仿宋" w:eastAsia="仿宋" w:cs="仿宋" w:hAnsi="仿宋" w:hint="eastAsia"/>
          <w:b w:val="0"/>
          <w:bCs w:val="0"/>
          <w:color w:val="auto"/>
          <w:sz w:val="32"/>
          <w:szCs w:val="32"/>
        </w:rPr>
        <w:t>异议的</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应在收到</w:t>
      </w:r>
      <w:r>
        <w:rPr>
          <w:rFonts w:ascii="仿宋" w:eastAsia="仿宋" w:cs="仿宋" w:hAnsi="仿宋" w:hint="eastAsia"/>
          <w:b w:val="0"/>
          <w:bCs w:val="0"/>
          <w:color w:val="auto"/>
          <w:sz w:val="32"/>
          <w:szCs w:val="32"/>
          <w:lang w:eastAsia="zh-CN"/>
        </w:rPr>
        <w:t>告知函</w:t>
      </w:r>
      <w:r>
        <w:rPr>
          <w:rFonts w:ascii="仿宋" w:eastAsia="仿宋" w:cs="仿宋" w:hAnsi="仿宋" w:hint="eastAsia"/>
          <w:b w:val="0"/>
          <w:bCs w:val="0"/>
          <w:color w:val="auto"/>
          <w:sz w:val="32"/>
          <w:szCs w:val="32"/>
        </w:rPr>
        <w:t>次日起5个工作日内向</w:t>
      </w:r>
      <w:r>
        <w:rPr>
          <w:rFonts w:ascii="仿宋" w:eastAsia="仿宋" w:cs="仿宋" w:hAnsi="仿宋" w:hint="eastAsia"/>
          <w:b w:val="0"/>
          <w:bCs w:val="0"/>
          <w:color w:val="auto"/>
          <w:sz w:val="32"/>
          <w:szCs w:val="32"/>
          <w:lang w:eastAsia="zh-CN"/>
        </w:rPr>
        <w:t>工程属地公共资源交易综合管理部门</w:t>
      </w:r>
      <w:r>
        <w:rPr>
          <w:rFonts w:ascii="仿宋" w:eastAsia="仿宋" w:cs="仿宋" w:hAnsi="仿宋" w:hint="eastAsia"/>
          <w:b w:val="0"/>
          <w:bCs w:val="0"/>
          <w:color w:val="auto"/>
          <w:sz w:val="32"/>
          <w:szCs w:val="32"/>
        </w:rPr>
        <w:t>提出书面异议</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并提供相关证明材料</w:t>
      </w:r>
      <w:r>
        <w:rPr>
          <w:rFonts w:ascii="仿宋" w:eastAsia="仿宋" w:cs="仿宋" w:hAnsi="仿宋" w:hint="eastAsia"/>
          <w:b w:val="0"/>
          <w:bCs w:val="0"/>
          <w:color w:val="auto"/>
          <w:sz w:val="32"/>
          <w:szCs w:val="32"/>
          <w:lang w:eastAsia="zh-CN"/>
        </w:rPr>
        <w:t>；</w:t>
      </w:r>
      <w:r>
        <w:rPr>
          <w:rFonts w:ascii="仿宋" w:eastAsia="仿宋" w:cs="仿宋" w:hAnsi="仿宋" w:hint="eastAsia"/>
          <w:b w:val="0"/>
          <w:bCs w:val="0"/>
          <w:color w:val="auto"/>
          <w:sz w:val="32"/>
          <w:szCs w:val="32"/>
        </w:rPr>
        <w:t>逾期提出异议</w:t>
      </w:r>
      <w:r>
        <w:rPr>
          <w:rFonts w:ascii="仿宋" w:eastAsia="仿宋" w:cs="仿宋" w:hAnsi="仿宋" w:hint="eastAsia"/>
          <w:b w:val="0"/>
          <w:bCs w:val="0"/>
          <w:color w:val="auto"/>
          <w:sz w:val="32"/>
          <w:szCs w:val="32"/>
          <w:lang w:eastAsia="zh-CN"/>
        </w:rPr>
        <w:t>，将</w:t>
      </w:r>
      <w:r>
        <w:rPr>
          <w:rFonts w:ascii="仿宋" w:eastAsia="仿宋" w:cs="仿宋" w:hAnsi="仿宋" w:hint="eastAsia"/>
          <w:b w:val="0"/>
          <w:bCs w:val="0"/>
          <w:color w:val="auto"/>
          <w:sz w:val="32"/>
          <w:szCs w:val="32"/>
        </w:rPr>
        <w:t>不予受理。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rPr>
      </w:pPr>
      <w:r>
        <w:rPr>
          <w:rFonts w:ascii="仿宋" w:eastAsia="仿宋" w:cs="仿宋" w:hAnsi="仿宋" w:hint="eastAsia"/>
          <w:b w:val="0"/>
          <w:bCs w:val="0"/>
          <w:color w:val="auto"/>
          <w:sz w:val="32"/>
          <w:szCs w:val="32"/>
          <w:lang w:eastAsia="zh-CN"/>
        </w:rPr>
        <w:t>（四）工程属地公共资源交易综合管理部门</w:t>
      </w:r>
      <w:r>
        <w:rPr>
          <w:rFonts w:ascii="仿宋" w:eastAsia="仿宋" w:cs="仿宋" w:hAnsi="仿宋" w:hint="eastAsia"/>
          <w:b w:val="0"/>
          <w:bCs w:val="0"/>
          <w:color w:val="auto"/>
          <w:sz w:val="32"/>
          <w:szCs w:val="32"/>
        </w:rPr>
        <w:t>收到异议后30日内</w:t>
      </w:r>
      <w:r>
        <w:rPr>
          <w:rFonts w:ascii="仿宋" w:eastAsia="仿宋" w:cs="仿宋" w:hAnsi="仿宋" w:hint="eastAsia"/>
          <w:b w:val="0"/>
          <w:bCs w:val="0"/>
          <w:color w:val="auto"/>
          <w:sz w:val="32"/>
          <w:szCs w:val="32"/>
          <w:lang w:eastAsia="zh-CN"/>
        </w:rPr>
        <w:t>予以</w:t>
      </w:r>
      <w:r>
        <w:rPr>
          <w:rFonts w:ascii="仿宋" w:eastAsia="仿宋" w:cs="仿宋" w:hAnsi="仿宋" w:hint="eastAsia"/>
          <w:b w:val="0"/>
          <w:bCs w:val="0"/>
          <w:color w:val="auto"/>
          <w:sz w:val="32"/>
          <w:szCs w:val="32"/>
        </w:rPr>
        <w:t>核实</w:t>
      </w:r>
      <w:r>
        <w:rPr>
          <w:rFonts w:ascii="仿宋" w:eastAsia="仿宋" w:cs="仿宋" w:hAnsi="仿宋" w:hint="eastAsia"/>
          <w:b w:val="0"/>
          <w:bCs w:val="0"/>
          <w:color w:val="auto"/>
          <w:sz w:val="32"/>
          <w:szCs w:val="32"/>
          <w:lang w:eastAsia="zh-CN"/>
        </w:rPr>
        <w:t>。异议成立的，取消不良行为信息记分。</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eastAsia="zh-CN"/>
        </w:rPr>
      </w:pPr>
      <w:r>
        <w:rPr>
          <w:rFonts w:ascii="黑体" w:eastAsia="黑体" w:cs="黑体" w:hAnsi="黑体" w:hint="eastAsia"/>
          <w:b w:val="0"/>
          <w:bCs w:val="0"/>
          <w:color w:val="auto"/>
          <w:sz w:val="32"/>
          <w:szCs w:val="32"/>
          <w:lang w:eastAsia="zh-CN"/>
        </w:rPr>
        <w:t>第八条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rPr>
        <w:t>不良行为信息公示</w:t>
      </w:r>
      <w:r>
        <w:rPr>
          <w:rFonts w:ascii="仿宋" w:eastAsia="仿宋" w:cs="仿宋" w:hAnsi="仿宋" w:hint="eastAsia"/>
          <w:b w:val="0"/>
          <w:bCs w:val="0"/>
          <w:color w:val="auto"/>
          <w:sz w:val="32"/>
          <w:szCs w:val="32"/>
          <w:lang w:eastAsia="zh-CN"/>
        </w:rPr>
        <w:t>载体</w:t>
      </w:r>
      <w:r>
        <w:rPr>
          <w:rFonts w:ascii="仿宋" w:eastAsia="仿宋" w:cs="仿宋" w:hAnsi="仿宋" w:hint="eastAsia"/>
          <w:b w:val="0"/>
          <w:bCs w:val="0"/>
          <w:color w:val="auto"/>
          <w:sz w:val="32"/>
          <w:szCs w:val="32"/>
        </w:rPr>
        <w:t>为市公共资源交易</w:t>
      </w:r>
      <w:r>
        <w:rPr>
          <w:rFonts w:ascii="仿宋" w:eastAsia="仿宋" w:cs="仿宋" w:hAnsi="仿宋" w:hint="eastAsia"/>
          <w:b w:val="0"/>
          <w:bCs w:val="0"/>
          <w:color w:val="auto"/>
          <w:sz w:val="32"/>
          <w:szCs w:val="32"/>
          <w:lang w:val="en-US" w:eastAsia="zh-CN"/>
        </w:rPr>
        <w:t>信用综合平台</w:t>
      </w:r>
      <w:r>
        <w:rPr>
          <w:rFonts w:ascii="仿宋" w:eastAsia="仿宋" w:cs="仿宋" w:hAnsi="仿宋" w:hint="eastAsia"/>
          <w:b w:val="0"/>
          <w:bCs w:val="0"/>
          <w:color w:val="auto"/>
          <w:sz w:val="32"/>
          <w:szCs w:val="32"/>
        </w:rPr>
        <w:t>。公示的内容包括被公示单位的名称、</w:t>
      </w:r>
      <w:r>
        <w:rPr>
          <w:rFonts w:ascii="仿宋" w:eastAsia="仿宋" w:cs="仿宋" w:hAnsi="仿宋" w:hint="eastAsia"/>
          <w:b w:val="0"/>
          <w:bCs w:val="0"/>
          <w:color w:val="auto"/>
          <w:sz w:val="32"/>
          <w:szCs w:val="32"/>
          <w:lang w:eastAsia="zh-CN"/>
        </w:rPr>
        <w:t>不良</w:t>
      </w:r>
      <w:r>
        <w:rPr>
          <w:rFonts w:ascii="仿宋" w:eastAsia="仿宋" w:cs="仿宋" w:hAnsi="仿宋" w:hint="eastAsia"/>
          <w:b w:val="0"/>
          <w:bCs w:val="0"/>
          <w:color w:val="auto"/>
          <w:sz w:val="32"/>
          <w:szCs w:val="32"/>
        </w:rPr>
        <w:t>行为、处理结果、</w:t>
      </w:r>
      <w:r>
        <w:rPr>
          <w:rFonts w:ascii="仿宋" w:eastAsia="仿宋" w:cs="仿宋" w:hAnsi="仿宋" w:hint="eastAsia"/>
          <w:b w:val="0"/>
          <w:bCs w:val="0"/>
          <w:color w:val="auto"/>
          <w:sz w:val="32"/>
          <w:szCs w:val="32"/>
          <w:lang w:eastAsia="zh-CN"/>
        </w:rPr>
        <w:t>计分起始日期及</w:t>
      </w:r>
      <w:r>
        <w:rPr>
          <w:rFonts w:ascii="仿宋" w:eastAsia="仿宋" w:cs="仿宋" w:hAnsi="仿宋" w:hint="eastAsia"/>
          <w:b w:val="0"/>
          <w:bCs w:val="0"/>
          <w:color w:val="auto"/>
          <w:sz w:val="32"/>
          <w:szCs w:val="32"/>
        </w:rPr>
        <w:t>公示期限等</w:t>
      </w:r>
      <w:r>
        <w:rPr>
          <w:rFonts w:ascii="仿宋" w:eastAsia="仿宋" w:cs="仿宋" w:hAnsi="仿宋" w:hint="eastAsia"/>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val="en-US" w:eastAsia="zh-CN"/>
        </w:rPr>
      </w:pPr>
      <w:r>
        <w:rPr>
          <w:rFonts w:ascii="黑体" w:eastAsia="黑体" w:cs="黑体" w:hAnsi="黑体" w:hint="eastAsia"/>
          <w:b w:val="0"/>
          <w:bCs w:val="0"/>
          <w:color w:val="auto"/>
          <w:sz w:val="32"/>
          <w:szCs w:val="32"/>
          <w:lang w:eastAsia="zh-CN"/>
        </w:rPr>
        <w:t>第九条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lang w:eastAsia="zh-CN"/>
        </w:rPr>
        <w:t>投标人不良行为信息在记分周期内按累计分值实行三色分档。</w:t>
      </w:r>
      <w:r>
        <w:rPr>
          <w:rFonts w:ascii="仿宋" w:eastAsia="仿宋" w:cs="仿宋" w:hAnsi="仿宋" w:hint="eastAsia"/>
          <w:b w:val="0"/>
          <w:bCs w:val="0"/>
          <w:color w:val="auto"/>
          <w:sz w:val="32"/>
          <w:szCs w:val="32"/>
          <w:lang w:val="en-US" w:eastAsia="zh-CN"/>
        </w:rPr>
        <w:t>具体分档标准：0≦</w:t>
      </w:r>
      <w:r>
        <w:rPr>
          <w:rFonts w:ascii="仿宋" w:eastAsia="仿宋" w:cs="仿宋" w:hAnsi="仿宋" w:hint="eastAsia"/>
          <w:b w:val="0"/>
          <w:bCs w:val="0"/>
          <w:color w:val="auto"/>
          <w:sz w:val="32"/>
          <w:szCs w:val="32"/>
          <w:lang w:eastAsia="zh-CN"/>
        </w:rPr>
        <w:t>计分</w:t>
      </w:r>
      <w:r>
        <w:rPr>
          <w:rFonts w:ascii="仿宋" w:eastAsia="仿宋" w:cs="仿宋" w:hAnsi="仿宋" w:hint="eastAsia"/>
          <w:b w:val="0"/>
          <w:bCs w:val="0"/>
          <w:color w:val="auto"/>
          <w:sz w:val="32"/>
          <w:szCs w:val="32"/>
          <w:lang w:val="en-US" w:eastAsia="zh-CN"/>
        </w:rPr>
        <w:t>&lt;20分，不良行为档次为绿色；20分≦</w:t>
      </w:r>
      <w:r>
        <w:rPr>
          <w:rFonts w:ascii="仿宋" w:eastAsia="仿宋" w:cs="仿宋" w:hAnsi="仿宋" w:hint="eastAsia"/>
          <w:b w:val="0"/>
          <w:bCs w:val="0"/>
          <w:color w:val="auto"/>
          <w:sz w:val="32"/>
          <w:szCs w:val="32"/>
          <w:lang w:eastAsia="zh-CN"/>
        </w:rPr>
        <w:t>计分</w:t>
      </w:r>
      <w:r>
        <w:rPr>
          <w:rFonts w:ascii="仿宋" w:eastAsia="仿宋" w:cs="仿宋" w:hAnsi="仿宋" w:hint="eastAsia"/>
          <w:b w:val="0"/>
          <w:bCs w:val="0"/>
          <w:color w:val="auto"/>
          <w:sz w:val="32"/>
          <w:szCs w:val="32"/>
          <w:lang w:val="en-US" w:eastAsia="zh-CN"/>
        </w:rPr>
        <w:t>&lt;60分，不良行为档次为黄色；</w:t>
      </w:r>
      <w:r>
        <w:rPr>
          <w:rFonts w:ascii="仿宋" w:eastAsia="仿宋" w:cs="仿宋" w:hAnsi="仿宋" w:hint="eastAsia"/>
          <w:b w:val="0"/>
          <w:bCs w:val="0"/>
          <w:color w:val="auto"/>
          <w:sz w:val="32"/>
          <w:szCs w:val="32"/>
          <w:lang w:eastAsia="zh-CN"/>
        </w:rPr>
        <w:t>计分</w:t>
      </w:r>
      <w:r>
        <w:rPr>
          <w:rFonts w:ascii="仿宋" w:eastAsia="仿宋" w:cs="仿宋" w:hAnsi="仿宋" w:hint="eastAsia"/>
          <w:b w:val="0"/>
          <w:bCs w:val="0"/>
          <w:color w:val="auto"/>
          <w:sz w:val="32"/>
          <w:szCs w:val="32"/>
          <w:lang w:val="en-US" w:eastAsia="zh-CN"/>
        </w:rPr>
        <w:t>≧60分，</w:t>
      </w:r>
      <w:r>
        <w:rPr>
          <w:rFonts w:ascii="仿宋" w:eastAsia="仿宋" w:cs="仿宋" w:hAnsi="仿宋" w:hint="eastAsia"/>
          <w:b w:val="0"/>
          <w:bCs w:val="0"/>
          <w:i w:val="0"/>
          <w:iCs w:val="0"/>
          <w:color w:val="auto"/>
          <w:kern w:val="2"/>
          <w:sz w:val="32"/>
          <w:szCs w:val="32"/>
          <w:vertAlign w:val="baseline"/>
          <w:lang w:val="en-US" w:eastAsia="zh-CN" w:bidi="ar-SA"/>
          <w:highlight w:val="auto"/>
        </w:rPr>
        <w:t>不良行为档次</w:t>
      </w:r>
      <w:r>
        <w:rPr>
          <w:rFonts w:ascii="仿宋" w:eastAsia="仿宋" w:cs="仿宋" w:hAnsi="仿宋" w:hint="eastAsia"/>
          <w:b w:val="0"/>
          <w:bCs w:val="0"/>
          <w:color w:val="auto"/>
          <w:sz w:val="32"/>
          <w:szCs w:val="32"/>
          <w:lang w:val="en-US" w:eastAsia="zh-CN"/>
        </w:rPr>
        <w:t>为红色。分值及档次信息录入</w:t>
      </w:r>
      <w:r>
        <w:rPr>
          <w:rFonts w:ascii="仿宋" w:eastAsia="仿宋" w:cs="仿宋" w:hAnsi="仿宋" w:hint="eastAsia"/>
          <w:b w:val="0"/>
          <w:bCs w:val="0"/>
          <w:color w:val="auto"/>
          <w:sz w:val="32"/>
          <w:szCs w:val="32"/>
          <w:lang w:eastAsia="zh-CN"/>
        </w:rPr>
        <w:t>温州市统一投标人主体信息库</w:t>
      </w:r>
      <w:r>
        <w:rPr>
          <w:rFonts w:ascii="仿宋" w:eastAsia="仿宋" w:cs="仿宋" w:hAnsi="仿宋" w:hint="eastAsia"/>
          <w:b w:val="0"/>
          <w:bCs w:val="0"/>
          <w:color w:val="auto"/>
          <w:sz w:val="32"/>
          <w:szCs w:val="32"/>
          <w:lang w:val="en-US" w:eastAsia="zh-CN"/>
        </w:rPr>
        <w:t>并在市</w:t>
      </w:r>
      <w:r>
        <w:rPr>
          <w:rFonts w:ascii="仿宋" w:eastAsia="仿宋" w:cs="仿宋" w:hAnsi="仿宋" w:hint="eastAsia"/>
          <w:b w:val="0"/>
          <w:bCs w:val="0"/>
          <w:color w:val="auto"/>
          <w:sz w:val="32"/>
          <w:szCs w:val="32"/>
        </w:rPr>
        <w:t>公共资源交易</w:t>
      </w:r>
      <w:r>
        <w:rPr>
          <w:rFonts w:ascii="仿宋" w:eastAsia="仿宋" w:cs="仿宋" w:hAnsi="仿宋" w:hint="eastAsia"/>
          <w:b w:val="0"/>
          <w:bCs w:val="0"/>
          <w:color w:val="auto"/>
          <w:sz w:val="32"/>
          <w:szCs w:val="32"/>
          <w:lang w:val="en-US" w:eastAsia="zh-CN"/>
        </w:rPr>
        <w:t>信用综合平台公示。</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val="en-US" w:eastAsia="zh-CN"/>
          <w:highlight w:val="auto"/>
        </w:rPr>
      </w:pPr>
      <w:r>
        <w:rPr>
          <w:rFonts w:ascii="黑体" w:eastAsia="黑体" w:cs="黑体" w:hAnsi="黑体" w:hint="eastAsia"/>
          <w:b w:val="0"/>
          <w:bCs w:val="0"/>
          <w:color w:val="auto"/>
          <w:sz w:val="32"/>
          <w:szCs w:val="32"/>
          <w:lang w:eastAsia="zh-CN"/>
        </w:rPr>
        <w:t>第十条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lang w:val="en-US" w:eastAsia="zh-CN"/>
          <w:highlight w:val="auto"/>
        </w:rPr>
        <w:t>各招投标监管部门可将投标人不良行为信息列入标前监督检查参考内容。</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val="en-US" w:eastAsia="zh-CN"/>
          <w:highlight w:val="auto"/>
        </w:rPr>
      </w:pPr>
      <w:r>
        <w:rPr>
          <w:rFonts w:ascii="仿宋" w:eastAsia="仿宋" w:cs="仿宋" w:hAnsi="仿宋" w:hint="eastAsia"/>
          <w:b w:val="0"/>
          <w:bCs w:val="0"/>
          <w:color w:val="auto"/>
          <w:sz w:val="32"/>
          <w:szCs w:val="32"/>
          <w:lang w:val="en-US" w:eastAsia="zh-CN"/>
          <w:highlight w:val="auto"/>
        </w:rPr>
        <w:t>项目招标人可将投标人不良行为信息作为资格预审环节及“评定分离”定标环节的重要参考因素。</w:t>
      </w:r>
    </w:p>
    <w:p>
      <w:pPr>
        <w:pStyle w:val="23"/>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ascii="仿宋" w:eastAsia="仿宋" w:cs="仿宋" w:hAnsi="仿宋" w:hint="eastAsia"/>
          <w:b w:val="0"/>
          <w:bCs w:val="0"/>
          <w:color w:val="auto"/>
          <w:kern w:val="2"/>
          <w:sz w:val="32"/>
          <w:szCs w:val="32"/>
          <w:lang w:val="en-US" w:eastAsia="zh-CN" w:bidi="ar-SA"/>
          <w:highlight w:val="auto"/>
        </w:rPr>
      </w:pPr>
      <w:r>
        <w:rPr>
          <w:rFonts w:ascii="仿宋" w:eastAsia="仿宋" w:cs="仿宋" w:hAnsi="仿宋" w:hint="eastAsia"/>
          <w:b w:val="0"/>
          <w:bCs w:val="0"/>
          <w:color w:val="auto"/>
          <w:sz w:val="32"/>
          <w:szCs w:val="32"/>
          <w:lang w:val="en-US" w:eastAsia="zh-CN"/>
          <w:highlight w:val="auto"/>
        </w:rPr>
        <w:t>项目招标人在</w:t>
      </w:r>
      <w:r>
        <w:rPr>
          <w:rFonts w:ascii="仿宋" w:eastAsia="仿宋" w:cs="仿宋" w:hAnsi="仿宋" w:hint="eastAsia"/>
          <w:b w:val="0"/>
          <w:bCs w:val="0"/>
          <w:color w:val="auto"/>
          <w:kern w:val="2"/>
          <w:sz w:val="32"/>
          <w:szCs w:val="32"/>
          <w:lang w:val="en-US" w:eastAsia="zh-CN" w:bidi="ar-SA"/>
          <w:highlight w:val="auto"/>
        </w:rPr>
        <w:t>限额以下工程项目发包时，</w:t>
      </w:r>
      <w:r>
        <w:rPr>
          <w:rFonts w:ascii="仿宋" w:eastAsia="仿宋" w:cs="仿宋" w:hAnsi="仿宋" w:hint="eastAsia"/>
          <w:b w:val="0"/>
          <w:bCs w:val="0"/>
          <w:color w:val="auto"/>
          <w:sz w:val="32"/>
          <w:szCs w:val="32"/>
          <w:lang w:val="en-US" w:eastAsia="zh-CN"/>
          <w:highlight w:val="auto"/>
        </w:rPr>
        <w:t>可将投标人不良行为信息作为重要参考因素</w:t>
      </w:r>
      <w:r>
        <w:rPr>
          <w:rFonts w:ascii="仿宋" w:eastAsia="仿宋" w:cs="仿宋" w:hAnsi="仿宋" w:hint="eastAsia"/>
          <w:b w:val="0"/>
          <w:bCs w:val="0"/>
          <w:color w:val="auto"/>
          <w:kern w:val="2"/>
          <w:sz w:val="32"/>
          <w:szCs w:val="32"/>
          <w:lang w:val="en-US" w:eastAsia="zh-CN" w:bidi="ar-SA"/>
          <w:highlight w:val="auto"/>
        </w:rPr>
        <w:t>。</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val="en-US" w:eastAsia="zh-CN"/>
          <w:highlight w:val="auto"/>
        </w:rPr>
      </w:pPr>
      <w:r>
        <w:rPr>
          <w:rFonts w:ascii="黑体" w:eastAsia="黑体" w:cs="黑体" w:hAnsi="黑体" w:hint="eastAsia"/>
          <w:b w:val="0"/>
          <w:bCs w:val="0"/>
          <w:color w:val="auto"/>
          <w:sz w:val="32"/>
          <w:szCs w:val="32"/>
          <w:lang w:val="en-US" w:eastAsia="zh-CN"/>
        </w:rPr>
        <w:t>第十一条</w:t>
      </w:r>
      <w:r>
        <w:rPr>
          <w:rFonts w:ascii="仿宋" w:eastAsia="仿宋" w:cs="仿宋" w:hAnsi="仿宋" w:hint="eastAsia"/>
          <w:b w:val="0"/>
          <w:bCs w:val="0"/>
          <w:color w:val="auto"/>
          <w:sz w:val="32"/>
          <w:szCs w:val="32"/>
          <w:lang w:val="en-US" w:eastAsia="zh-CN"/>
          <w:highlight w:val="auto"/>
        </w:rPr>
        <w:t xml:space="preserve"> </w:t>
      </w:r>
      <w:r>
        <w:rPr>
          <w:rFonts w:ascii="仿宋" w:eastAsia="仿宋" w:cs="仿宋" w:hAnsi="仿宋" w:hint="eastAsia"/>
          <w:b w:val="0"/>
          <w:bCs w:val="0"/>
          <w:color w:val="auto"/>
          <w:sz w:val="32"/>
          <w:szCs w:val="32"/>
          <w:lang w:eastAsia="zh-CN"/>
          <w:highlight w:val="auto"/>
        </w:rPr>
        <w:t>投标人承诺践诺信息、不良行为分值及档次信息，按规定报送市公共信用信息平台。</w:t>
      </w:r>
    </w:p>
    <w:p>
      <w:pPr>
        <w:keepNext w:val="0"/>
        <w:keepLines w:val="0"/>
        <w:pageBreakBefore w:val="0"/>
        <w:widowControl w:val="0"/>
        <w:kinsoku/>
        <w:wordWrap/>
        <w:overflowPunct/>
        <w:topLinePunct w:val="0"/>
        <w:autoSpaceDE/>
        <w:autoSpaceDN/>
        <w:bidi w:val="0"/>
        <w:adjustRightInd/>
        <w:snapToGrid/>
        <w:spacing w:line="560" w:lineRule="exact"/>
        <w:ind w:left="0" w:firstLine="562"/>
        <w:textAlignment w:val="auto"/>
        <w:rPr>
          <w:rFonts w:ascii="仿宋" w:eastAsia="仿宋" w:cs="仿宋" w:hAnsi="仿宋" w:hint="eastAsia"/>
          <w:b w:val="0"/>
          <w:bCs w:val="0"/>
          <w:color w:val="auto"/>
          <w:sz w:val="32"/>
          <w:szCs w:val="32"/>
          <w:lang w:eastAsia="zh-CN"/>
        </w:rPr>
      </w:pPr>
      <w:r>
        <w:rPr>
          <w:rFonts w:ascii="黑体" w:eastAsia="黑体" w:cs="黑体" w:hAnsi="黑体" w:hint="eastAsia"/>
          <w:b w:val="0"/>
          <w:bCs w:val="0"/>
          <w:color w:val="auto"/>
          <w:sz w:val="32"/>
          <w:szCs w:val="32"/>
          <w:lang w:eastAsia="zh-CN"/>
        </w:rPr>
        <w:t>第十二条</w:t>
      </w:r>
      <w:r>
        <w:rPr>
          <w:rFonts w:ascii="仿宋" w:eastAsia="仿宋" w:cs="仿宋" w:hAnsi="仿宋" w:hint="eastAsia"/>
          <w:b w:val="0"/>
          <w:bCs w:val="0"/>
          <w:color w:val="auto"/>
          <w:sz w:val="32"/>
          <w:szCs w:val="32"/>
          <w:lang w:eastAsia="zh-CN"/>
        </w:rPr>
        <w:t xml:space="preserve"> 在不良行为信息管理工作中,有滥用职权、玩忽职守、徇私舞弊等违法犯罪行为的，依据相关规定追究有关责任人员责任。</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eastAsia="zh-CN"/>
        </w:rPr>
      </w:pPr>
      <w:r>
        <w:rPr>
          <w:rFonts w:ascii="黑体" w:eastAsia="黑体" w:cs="黑体" w:hAnsi="黑体" w:hint="eastAsia"/>
          <w:b w:val="0"/>
          <w:bCs w:val="0"/>
          <w:color w:val="auto"/>
          <w:sz w:val="32"/>
          <w:szCs w:val="32"/>
          <w:lang w:eastAsia="zh-CN"/>
        </w:rPr>
        <w:t>第十三条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lang w:eastAsia="zh-CN"/>
        </w:rPr>
        <w:t>本办法自</w:t>
      </w:r>
      <w:r>
        <w:rPr>
          <w:rFonts w:ascii="仿宋" w:eastAsia="仿宋" w:cs="仿宋" w:hAnsi="仿宋" w:hint="eastAsia"/>
          <w:b w:val="0"/>
          <w:bCs w:val="0"/>
          <w:color w:val="auto"/>
          <w:sz w:val="32"/>
          <w:szCs w:val="32"/>
          <w:u w:val="none"/>
          <w:lang w:val="en-US" w:eastAsia="zh-CN"/>
        </w:rPr>
        <w:t>2023年</w:t>
      </w:r>
      <w:r>
        <w:rPr>
          <w:rFonts w:ascii="仿宋" w:eastAsia="仿宋" w:cs="仿宋" w:hAnsi="仿宋" w:hint="eastAsia"/>
          <w:b w:val="0"/>
          <w:bCs w:val="0"/>
          <w:color w:val="auto"/>
          <w:sz w:val="32"/>
          <w:szCs w:val="32"/>
          <w:u w:val="none"/>
          <w:lang w:eastAsia="zh-CN"/>
        </w:rPr>
        <w:t>7月</w:t>
      </w:r>
      <w:r>
        <w:rPr>
          <w:rFonts w:ascii="仿宋" w:eastAsia="仿宋" w:cs="仿宋" w:hAnsi="仿宋" w:hint="eastAsia"/>
          <w:b w:val="0"/>
          <w:bCs w:val="0"/>
          <w:color w:val="auto"/>
          <w:sz w:val="32"/>
          <w:szCs w:val="32"/>
          <w:u w:val="none"/>
          <w:lang w:val="en-US" w:eastAsia="zh-CN"/>
        </w:rPr>
        <w:t>20</w:t>
      </w:r>
      <w:r>
        <w:rPr>
          <w:rFonts w:ascii="仿宋" w:eastAsia="仿宋" w:cs="仿宋" w:hAnsi="仿宋" w:hint="eastAsia"/>
          <w:b w:val="0"/>
          <w:bCs w:val="0"/>
          <w:color w:val="auto"/>
          <w:sz w:val="32"/>
          <w:szCs w:val="32"/>
          <w:u w:val="none"/>
          <w:lang w:eastAsia="zh-CN"/>
        </w:rPr>
        <w:t>日</w:t>
      </w:r>
      <w:r>
        <w:rPr>
          <w:rFonts w:ascii="仿宋" w:eastAsia="仿宋" w:cs="仿宋" w:hAnsi="仿宋" w:hint="eastAsia"/>
          <w:b w:val="0"/>
          <w:bCs w:val="0"/>
          <w:color w:val="auto"/>
          <w:sz w:val="32"/>
          <w:szCs w:val="32"/>
          <w:lang w:eastAsia="zh-CN"/>
        </w:rPr>
        <w:t>起试行，有效期两年。试行期间，国家法律、法规有新规定的，从其规定。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firstLineChars="200" w:firstLine="640"/>
        <w:textAlignment w:val="auto"/>
        <w:rPr>
          <w:rFonts w:ascii="仿宋" w:eastAsia="仿宋" w:cs="仿宋" w:hAnsi="仿宋" w:hint="eastAsia"/>
          <w:b w:val="0"/>
          <w:bCs w:val="0"/>
          <w:color w:val="auto"/>
          <w:sz w:val="32"/>
          <w:szCs w:val="32"/>
          <w:lang w:eastAsia="zh-CN"/>
        </w:rPr>
      </w:pPr>
      <w:r>
        <w:rPr>
          <w:rFonts w:ascii="黑体" w:eastAsia="黑体" w:cs="黑体" w:hAnsi="黑体" w:hint="eastAsia"/>
          <w:b w:val="0"/>
          <w:bCs w:val="0"/>
          <w:color w:val="auto"/>
          <w:sz w:val="32"/>
          <w:szCs w:val="32"/>
          <w:lang w:eastAsia="zh-CN"/>
        </w:rPr>
        <w:t>第十四条</w:t>
      </w:r>
      <w:r>
        <w:rPr>
          <w:rFonts w:ascii="仿宋" w:eastAsia="仿宋" w:cs="仿宋" w:hAnsi="仿宋" w:hint="eastAsia"/>
          <w:b w:val="0"/>
          <w:bCs w:val="0"/>
          <w:color w:val="auto"/>
          <w:sz w:val="32"/>
          <w:szCs w:val="32"/>
          <w:lang w:val="en-US" w:eastAsia="zh-CN"/>
        </w:rPr>
        <w:t xml:space="preserve"> </w:t>
      </w:r>
      <w:r>
        <w:rPr>
          <w:rFonts w:ascii="仿宋" w:eastAsia="仿宋" w:cs="仿宋" w:hAnsi="仿宋" w:hint="eastAsia"/>
          <w:b w:val="0"/>
          <w:bCs w:val="0"/>
          <w:color w:val="auto"/>
          <w:sz w:val="32"/>
          <w:szCs w:val="32"/>
          <w:lang w:eastAsia="zh-CN"/>
        </w:rPr>
        <w:t>本办法由温州</w:t>
      </w:r>
      <w:r>
        <w:rPr>
          <w:rFonts w:ascii="仿宋" w:eastAsia="仿宋" w:cs="仿宋" w:hAnsi="仿宋" w:hint="eastAsia"/>
          <w:b w:val="0"/>
          <w:bCs w:val="0"/>
          <w:color w:val="auto"/>
          <w:sz w:val="32"/>
          <w:szCs w:val="32"/>
        </w:rPr>
        <w:t>市</w:t>
      </w:r>
      <w:r>
        <w:rPr>
          <w:rFonts w:ascii="仿宋" w:eastAsia="仿宋" w:cs="仿宋" w:hAnsi="仿宋" w:hint="eastAsia"/>
          <w:b w:val="0"/>
          <w:bCs w:val="0"/>
          <w:color w:val="auto"/>
          <w:sz w:val="32"/>
          <w:szCs w:val="32"/>
          <w:lang w:eastAsia="zh-CN"/>
        </w:rPr>
        <w:t>公共资源交易管理委员会办公室负责解释。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 w:eastAsia="仿宋" w:cs="仿宋" w:hAnsi="仿宋" w:hint="eastAsia"/>
          <w:b w:val="0"/>
          <w:bCs w:val="0"/>
          <w:i w:val="0"/>
          <w:caps w:val="0"/>
          <w:smallCaps w:val="0"/>
          <w:color w:val="auto"/>
          <w:spacing w:val="0"/>
          <w:sz w:val="32"/>
          <w:szCs w:val="32"/>
          <w:shd w:val="clear" w:color="auto" w:fill="FFFFFF"/>
          <w:lang w:val="en-US" w:eastAsia="zh-CN"/>
        </w:rPr>
      </w:pPr>
    </w:p>
    <w:p>
      <w:pPr>
        <w:widowControl w:val="0"/>
        <w:ind w:leftChars="304" w:left="1598" w:hangingChars="300" w:hanging="960"/>
        <w:jc w:val="both"/>
        <w:rPr>
          <w:rFonts w:ascii="仿宋_GB2312" w:eastAsia="仿宋_GB2312" w:cs="仿宋_GB2312" w:hAnsi="仿宋_GB2312"/>
          <w:b w:val="0"/>
          <w:bCs w:val="0"/>
          <w:i w:val="0"/>
          <w:caps w:val="0"/>
          <w:smallCaps w:val="0"/>
          <w:color w:val="auto"/>
          <w:spacing w:val="0"/>
          <w:sz w:val="32"/>
          <w:szCs w:val="32"/>
          <w:shd w:val="clear" w:color="auto" w:fill="FFFFFF"/>
          <w:lang w:val="en-US" w:eastAsia="zh-CN"/>
        </w:rPr>
      </w:pPr>
      <w:r>
        <w:rPr>
          <w:rFonts w:ascii="仿宋" w:eastAsia="仿宋" w:cs="仿宋" w:hAnsi="仿宋" w:hint="eastAsia"/>
          <w:b w:val="0"/>
          <w:bCs w:val="0"/>
          <w:i w:val="0"/>
          <w:caps w:val="0"/>
          <w:smallCaps w:val="0"/>
          <w:color w:val="auto"/>
          <w:spacing w:val="0"/>
          <w:sz w:val="32"/>
          <w:szCs w:val="32"/>
          <w:shd w:val="clear" w:color="auto" w:fill="FFFFFF"/>
          <w:lang w:val="en-US" w:eastAsia="zh-CN"/>
        </w:rPr>
        <w:t>附表：工程建设项目投标人交易履约不良行为记分和公示期基准</w:t>
      </w:r>
    </w:p>
    <w:p>
      <w:pPr>
        <w:widowControl w:val="0"/>
        <w:jc w:val="both"/>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pStyle w:val="24"/>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pStyle w:val="24"/>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pStyle w:val="24"/>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widowControl w:val="0"/>
        <w:jc w:val="both"/>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widowControl w:val="0"/>
        <w:jc w:val="both"/>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widowControl w:val="0"/>
        <w:jc w:val="both"/>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widowControl w:val="0"/>
        <w:jc w:val="both"/>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eastAsia="黑体" w:cs="黑体" w:hAnsi="黑体" w:hint="eastAsia"/>
          <w:b w:val="0"/>
          <w:bCs/>
          <w:i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eastAsia="黑体" w:cs="黑体" w:hAnsi="黑体" w:hint="eastAsia"/>
          <w:b w:val="0"/>
          <w:bCs/>
          <w:i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eastAsia="黑体" w:cs="黑体" w:hAnsi="黑体" w:hint="eastAsia"/>
          <w:b w:val="0"/>
          <w:bCs/>
          <w:i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eastAsia="黑体" w:cs="黑体" w:hAnsi="黑体" w:hint="eastAsia"/>
          <w:b w:val="0"/>
          <w:bCs/>
          <w:i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eastAsia="黑体" w:cs="黑体" w:hAnsi="黑体" w:hint="eastAsia"/>
          <w:b w:val="0"/>
          <w:bCs/>
          <w:i w:val="0"/>
          <w:color w:val="000000"/>
          <w:kern w:val="0"/>
          <w:sz w:val="32"/>
          <w:szCs w:val="32"/>
          <w:u w:val="none"/>
          <w:lang w:val="en-US" w:eastAsia="zh-CN"/>
        </w:rPr>
      </w:pPr>
      <w:r>
        <w:rPr>
          <w:rFonts w:ascii="黑体" w:eastAsia="黑体" w:cs="黑体" w:hAnsi="黑体" w:hint="eastAsia"/>
          <w:b w:val="0"/>
          <w:bCs/>
          <w:i w:val="0"/>
          <w:color w:val="000000"/>
          <w:kern w:val="0"/>
          <w:sz w:val="32"/>
          <w:szCs w:val="32"/>
          <w:u w:val="none"/>
          <w:lang w:val="en-US" w:eastAsia="zh-CN"/>
        </w:rPr>
        <w:t>附表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hAnsi="方正小标宋简体" w:hint="eastAsia"/>
          <w:b w:val="0"/>
          <w:bCs/>
          <w:i w:val="0"/>
          <w:color w:val="000000"/>
          <w:kern w:val="0"/>
          <w:sz w:val="44"/>
          <w:szCs w:val="44"/>
          <w:u w:val="none"/>
          <w:lang w:val="en-US" w:eastAsia="zh-CN"/>
        </w:rPr>
      </w:pPr>
      <w:r>
        <w:rPr>
          <w:rFonts w:ascii="方正小标宋简体" w:eastAsia="方正小标宋简体" w:cs="方正小标宋简体" w:hAnsi="方正小标宋简体" w:hint="eastAsia"/>
          <w:b w:val="0"/>
          <w:bCs/>
          <w:i w:val="0"/>
          <w:color w:val="000000"/>
          <w:kern w:val="0"/>
          <w:sz w:val="44"/>
          <w:szCs w:val="44"/>
          <w:u w:val="none"/>
          <w:lang w:val="en-US" w:eastAsia="zh-CN"/>
        </w:rPr>
        <w:t>工程建设项目投标人交易履约不良行为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hAnsi="方正小标宋简体" w:hint="eastAsia"/>
          <w:b w:val="0"/>
          <w:bCs/>
          <w:i w:val="0"/>
          <w:caps w:val="0"/>
          <w:smallCaps w:val="0"/>
          <w:color w:val="auto"/>
          <w:spacing w:val="0"/>
          <w:sz w:val="44"/>
          <w:szCs w:val="44"/>
          <w:shd w:val="clear" w:color="auto" w:fill="FFFFFF"/>
          <w:lang w:val="en-US" w:eastAsia="zh-CN"/>
        </w:rPr>
      </w:pPr>
      <w:r>
        <w:rPr>
          <w:rFonts w:ascii="方正小标宋简体" w:eastAsia="方正小标宋简体" w:cs="方正小标宋简体" w:hAnsi="方正小标宋简体" w:hint="eastAsia"/>
          <w:b w:val="0"/>
          <w:bCs/>
          <w:i w:val="0"/>
          <w:color w:val="000000"/>
          <w:kern w:val="0"/>
          <w:sz w:val="44"/>
          <w:szCs w:val="44"/>
          <w:u w:val="none"/>
          <w:lang w:val="en-US" w:eastAsia="zh-CN"/>
        </w:rPr>
        <w:t>记分和公示期基准</w:t>
      </w:r>
    </w:p>
    <w:tbl>
      <w:tblPr>
        <w:jc w:val="center"/>
        <w:tblW w:w="10477"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849"/>
        <w:gridCol w:w="6965"/>
        <w:gridCol w:w="1449"/>
        <w:gridCol w:w="1214"/>
      </w:tblGrid>
      <w:tr>
        <w:trPr>
          <w:trHeight w:hRule="exact" w:val="758"/>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b/>
                <w:bCs/>
                <w:i w:val="0"/>
                <w:color w:val="000000"/>
                <w:sz w:val="28"/>
                <w:szCs w:val="28"/>
                <w:u w:val="none"/>
              </w:rPr>
            </w:pPr>
            <w:r>
              <w:rPr>
                <w:rFonts w:ascii="宋体" w:eastAsia="宋体" w:cs="宋体" w:hAnsi="宋体" w:hint="eastAsia"/>
                <w:b/>
                <w:bCs/>
                <w:i w:val="0"/>
                <w:color w:val="000000"/>
                <w:kern w:val="0"/>
                <w:sz w:val="28"/>
                <w:szCs w:val="28"/>
                <w:u w:val="none"/>
                <w:lang w:val="en-US" w:eastAsia="zh-CN"/>
              </w:rPr>
              <w:t>序号</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b/>
                <w:bCs/>
                <w:i w:val="0"/>
                <w:color w:val="000000"/>
                <w:sz w:val="28"/>
                <w:szCs w:val="28"/>
                <w:u w:val="none"/>
              </w:rPr>
            </w:pPr>
            <w:r>
              <w:rPr>
                <w:rFonts w:ascii="宋体" w:eastAsia="宋体" w:cs="宋体" w:hAnsi="宋体" w:hint="eastAsia"/>
                <w:b/>
                <w:bCs/>
                <w:i w:val="0"/>
                <w:color w:val="000000"/>
                <w:kern w:val="0"/>
                <w:sz w:val="28"/>
                <w:szCs w:val="28"/>
                <w:u w:val="none"/>
                <w:lang w:val="en-US" w:eastAsia="zh-CN"/>
              </w:rPr>
              <w:t>内容</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b/>
                <w:bCs/>
                <w:i w:val="0"/>
                <w:color w:val="000000"/>
                <w:sz w:val="28"/>
                <w:szCs w:val="28"/>
                <w:u w:val="none"/>
              </w:rPr>
            </w:pPr>
            <w:r>
              <w:rPr>
                <w:rFonts w:ascii="宋体" w:eastAsia="宋体" w:cs="宋体" w:hAnsi="宋体" w:hint="eastAsia"/>
                <w:b/>
                <w:bCs/>
                <w:i w:val="0"/>
                <w:color w:val="000000"/>
                <w:kern w:val="0"/>
                <w:sz w:val="28"/>
                <w:szCs w:val="28"/>
                <w:u w:val="none"/>
                <w:lang w:val="en-US" w:eastAsia="zh-CN"/>
              </w:rPr>
              <w:t>记分标准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b/>
                <w:bCs/>
                <w:i w:val="0"/>
                <w:color w:val="000000"/>
                <w:sz w:val="28"/>
                <w:szCs w:val="28"/>
                <w:u w:val="none"/>
              </w:rPr>
            </w:pPr>
            <w:r>
              <w:rPr>
                <w:rFonts w:ascii="宋体" w:eastAsia="宋体" w:cs="宋体" w:hAnsi="宋体" w:hint="eastAsia"/>
                <w:b/>
                <w:bCs/>
                <w:i w:val="0"/>
                <w:color w:val="000000"/>
                <w:kern w:val="0"/>
                <w:sz w:val="28"/>
                <w:szCs w:val="28"/>
                <w:u w:val="none"/>
                <w:lang w:val="en-US" w:eastAsia="zh-CN"/>
              </w:rPr>
              <w:t>公示期</w:t>
            </w:r>
          </w:p>
        </w:tc>
      </w:tr>
      <w:tr>
        <w:trPr>
          <w:trHeight w:val="1128"/>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w:t>
            </w:r>
          </w:p>
        </w:tc>
        <w:tc>
          <w:tcPr>
            <w:tcW w:w="6965" w:type="dxa"/>
            <w:tcBorders>
              <w:top w:val="single" w:sz="4" w:space="0" w:color="000000"/>
              <w:left w:val="nil"/>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递交投标文件后未按规定参加开标活动；无正当理由不解密电子投标书；不参加规定的答辩、演示、样品资料提供等，且无法说明正当理由的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记5分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1个月</w:t>
            </w:r>
          </w:p>
        </w:tc>
      </w:tr>
      <w:tr>
        <w:trPr>
          <w:trHeight w:val="790"/>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在投标有效期内撤销投标文件,或在中标通知书发出前无正当理由放弃中标资格(包括中标候选人)的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记5分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1个月</w:t>
            </w:r>
          </w:p>
        </w:tc>
      </w:tr>
      <w:tr>
        <w:trPr>
          <w:trHeight w:val="1668"/>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3</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单位的资质资格等级不符合招标文件要求仍参与投标,拟任的管理人员或技术人员资质资格等级不符合招标文件要求仍参与投标；为招标项目的前期准备或者监理工作提供设计、咨询服务的单位，依规定不应参与该项目其他招标采购活动而参加，影响正常开评标活动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记5分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1个月</w:t>
            </w:r>
          </w:p>
        </w:tc>
      </w:tr>
      <w:tr>
        <w:trPr>
          <w:trHeight w:val="1085"/>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4</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不遵守开评标和交易秩序、散布传播不实不当言论、起哄闹事，以非法方式阻止开评标程序进行，扰乱市场交易的；采取不正当手段影响和干扰其他投标人投标以及开评标活动的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3个月</w:t>
            </w:r>
          </w:p>
        </w:tc>
      </w:tr>
      <w:tr>
        <w:trPr>
          <w:trHeight w:val="1095"/>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5</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不按规定对评审委员会提出的询问进行澄清、说明等，影响评标正常进行的；评标结束后向评委或招标人等打听评标内容和细节，不正当获取评标相关资料的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3个月</w:t>
            </w:r>
          </w:p>
        </w:tc>
      </w:tr>
      <w:tr>
        <w:trPr>
          <w:trHeight w:val="1362"/>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6</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一年内累计2次及以上投诉不成立或质疑、异议失实，影响交易项目进度的；编造事实、伪造材料、以非法手段获取证明材料进行虚假恶意质疑和举报投诉或指使他人进行上述行为的；未按规定质疑、异议、投诉、举报，造成不良影响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记15分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6个月</w:t>
            </w:r>
          </w:p>
        </w:tc>
      </w:tr>
      <w:tr>
        <w:trPr>
          <w:trHeight w:val="1077"/>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7</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不配合监管部门了解情况、约谈、检查、调查,提供虚假证明材料等，影响和干扰监管部门正常工作开展的；不履行投诉处理决定的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记15分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6个月</w:t>
            </w:r>
          </w:p>
        </w:tc>
      </w:tr>
      <w:tr>
        <w:trPr>
          <w:trHeight w:val="1044"/>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8</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中标后不配合履行有关手续的；中标通知书发出后无正当理由不与招标人签订合同或提出附加条件，更改招标文件和合同实质性内容的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记20分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823"/>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9</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不同投标人的法定代表人、委托代理人或项目负责人、技术负责人、项目总监等项目管理成员在同一个单位缴纳社会保险的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记25分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460"/>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10</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私下联络专家评委，影响评标规范公正开展的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记30分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436"/>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11</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未中标或成为中标候选人，但存在弄虚作假行为</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记30分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2695"/>
        </w:trPr>
        <w:tc>
          <w:tcPr>
            <w:tcW w:w="8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Ansi="宋体" w:hint="eastAsia"/>
                <w:i w:val="0"/>
                <w:color w:val="000000"/>
                <w:kern w:val="0"/>
                <w:sz w:val="24"/>
                <w:szCs w:val="24"/>
                <w:u w:val="none"/>
                <w:lang w:val="en-US" w:eastAsia="zh-CN"/>
              </w:rPr>
            </w:pPr>
            <w:r>
              <w:rPr>
                <w:rFonts w:ascii="宋体" w:eastAsia="宋体" w:cs="宋体" w:hAnsi="宋体" w:hint="eastAsia"/>
                <w:i w:val="0"/>
                <w:color w:val="000000"/>
                <w:kern w:val="0"/>
                <w:sz w:val="24"/>
                <w:szCs w:val="24"/>
                <w:u w:val="none"/>
                <w:lang w:val="en-US" w:eastAsia="zh-CN"/>
              </w:rPr>
              <w:t>12</w:t>
            </w:r>
          </w:p>
        </w:tc>
        <w:tc>
          <w:tcPr>
            <w:tcW w:w="696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both"/>
              <w:textAlignment w:val="center"/>
              <w:rPr>
                <w:rFonts w:ascii="宋体" w:eastAsia="宋体" w:cs="宋体" w:hAnsi="宋体" w:hint="eastAsia"/>
                <w:i w:val="0"/>
                <w:color w:val="000000"/>
                <w:kern w:val="0"/>
                <w:sz w:val="24"/>
                <w:szCs w:val="24"/>
                <w:u w:val="none"/>
                <w:lang w:val="en-US" w:eastAsia="zh-CN"/>
              </w:rPr>
            </w:pPr>
            <w:r>
              <w:rPr>
                <w:rFonts w:ascii="宋体" w:eastAsia="宋体" w:cs="宋体" w:hAnsi="宋体" w:hint="eastAsia"/>
                <w:i w:val="0"/>
                <w:color w:val="000000"/>
                <w:kern w:val="0"/>
                <w:sz w:val="24"/>
                <w:szCs w:val="24"/>
                <w:u w:val="none"/>
                <w:lang w:val="en-US" w:eastAsia="zh-CN"/>
              </w:rPr>
              <w:t>不同投标人的电子投标文件的文件制作机器码（计算机网卡MAC地址、数据储存设备序列号、CPU序列号、主板序列号、工具标识号和文件制作联网ip地址，以上六项中的任意三项）相同或文件创建标识码相同；或不同投标人委托同一单位或者个人办理投标事宜；或不同投标人的投标文件载明的项目管理成员为同一人；或不同投标人的投标文件异常一致或者投标报价呈规律性差异（投标文件雷同）；或不同投标人的投标文件相互混装；或不同投标人的投标保证金从同一单位或者个人的账户转出</w:t>
            </w:r>
          </w:p>
        </w:tc>
        <w:tc>
          <w:tcPr>
            <w:tcW w:w="144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Ansi="宋体" w:hint="eastAsia"/>
                <w:i w:val="0"/>
                <w:color w:val="000000"/>
                <w:kern w:val="0"/>
                <w:sz w:val="24"/>
                <w:szCs w:val="24"/>
                <w:u w:val="none"/>
                <w:lang w:val="en-US" w:eastAsia="zh-CN"/>
              </w:rPr>
            </w:pPr>
            <w:r>
              <w:rPr>
                <w:rFonts w:ascii="宋体" w:eastAsia="宋体" w:cs="宋体" w:hAnsi="宋体" w:hint="eastAsia"/>
                <w:i w:val="0"/>
                <w:color w:val="000000"/>
                <w:kern w:val="0"/>
                <w:sz w:val="24"/>
                <w:szCs w:val="24"/>
                <w:u w:val="none"/>
                <w:lang w:val="en-US" w:eastAsia="zh-CN"/>
              </w:rPr>
              <w:t>记40分</w:t>
            </w:r>
          </w:p>
        </w:tc>
        <w:tc>
          <w:tcPr>
            <w:tcW w:w="1214"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pPr>
              <w:keepNext w:val="0"/>
              <w:keepLines w:val="0"/>
              <w:widowControl/>
              <w:suppressLineNumbers w:val="0"/>
              <w:jc w:val="center"/>
              <w:textAlignment w:val="center"/>
              <w:rPr>
                <w:rFonts w:ascii="宋体" w:eastAsia="宋体" w:cs="宋体" w:hAnsi="宋体" w:hint="eastAsia"/>
                <w:i w:val="0"/>
                <w:color w:val="000000"/>
                <w:kern w:val="0"/>
                <w:sz w:val="24"/>
                <w:szCs w:val="24"/>
                <w:u w:val="none"/>
                <w:lang w:val="en-US" w:eastAsia="zh-CN"/>
              </w:rPr>
            </w:pPr>
            <w:r>
              <w:rPr>
                <w:rFonts w:ascii="宋体" w:eastAsia="宋体" w:cs="宋体" w:hAnsi="宋体" w:hint="eastAsia"/>
                <w:i w:val="0"/>
                <w:color w:val="000000"/>
                <w:kern w:val="0"/>
                <w:sz w:val="24"/>
                <w:szCs w:val="24"/>
                <w:u w:val="none"/>
                <w:lang w:val="en-US" w:eastAsia="zh-CN"/>
              </w:rPr>
              <w:t>12个月</w:t>
            </w:r>
          </w:p>
        </w:tc>
      </w:tr>
      <w:tr>
        <w:trPr>
          <w:trHeight w:val="504"/>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13</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串标</w:t>
            </w:r>
            <w:r>
              <w:rPr>
                <w:rFonts w:ascii="宋体" w:cs="宋体" w:hAnsi="宋体" w:hint="eastAsia"/>
                <w:i w:val="0"/>
                <w:color w:val="000000"/>
                <w:kern w:val="0"/>
                <w:sz w:val="24"/>
                <w:szCs w:val="24"/>
                <w:u w:val="none"/>
                <w:lang w:val="en-US" w:eastAsia="zh-CN"/>
              </w:rPr>
              <w:t>围</w:t>
            </w:r>
            <w:r>
              <w:rPr>
                <w:rFonts w:ascii="宋体" w:eastAsia="宋体" w:cs="宋体" w:hAnsi="宋体" w:hint="eastAsia"/>
                <w:i w:val="0"/>
                <w:color w:val="000000"/>
                <w:kern w:val="0"/>
                <w:sz w:val="24"/>
                <w:szCs w:val="24"/>
                <w:u w:val="none"/>
                <w:lang w:val="en-US" w:eastAsia="zh-CN"/>
              </w:rPr>
              <w:t>标、弄虚作假骗取中标（中标或成为中标候选人）行为</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记100分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1044"/>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14</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监理单位未履行监理职责,对施工单位项目部关键岗位人员未到岗履职、月度考勤不满足合同约定等异常情况未及时向建设单位报告的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3个月</w:t>
            </w:r>
          </w:p>
        </w:tc>
      </w:tr>
      <w:tr>
        <w:trPr>
          <w:trHeight w:val="1423"/>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15</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招标文件中未设置项目负责人为评审打分项，中标后一年以内更换中标项目负责人；中标后一年以内更换项目负责人，但符合招标文件业绩要求的（以上包括工程总承包项目的施工负责人和设计负责人）</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3个月</w:t>
            </w:r>
          </w:p>
        </w:tc>
      </w:tr>
      <w:tr>
        <w:trPr>
          <w:trHeight w:val="715"/>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16</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未按规定或合同约定配备关键岗位人员,不满足工程建设需要,或履职不力的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记1</w:t>
            </w:r>
            <w:r>
              <w:rPr>
                <w:rFonts w:ascii="宋体" w:cs="宋体" w:hAnsi="宋体" w:hint="eastAsia"/>
                <w:i w:val="0"/>
                <w:color w:val="000000"/>
                <w:kern w:val="0"/>
                <w:sz w:val="24"/>
                <w:szCs w:val="24"/>
                <w:u w:val="none"/>
                <w:lang w:val="en-US" w:eastAsia="zh-CN"/>
              </w:rPr>
              <w:t>5</w:t>
            </w:r>
            <w:r>
              <w:rPr>
                <w:rFonts w:ascii="宋体" w:eastAsia="宋体" w:cs="宋体" w:hAnsi="宋体" w:hint="eastAsia"/>
                <w:i w:val="0"/>
                <w:color w:val="000000"/>
                <w:kern w:val="0"/>
                <w:sz w:val="24"/>
                <w:szCs w:val="24"/>
                <w:u w:val="none"/>
                <w:lang w:val="en-US" w:eastAsia="zh-CN"/>
              </w:rPr>
              <w:t>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cs="宋体" w:hAnsi="宋体" w:hint="eastAsia"/>
                <w:i w:val="0"/>
                <w:color w:val="000000"/>
                <w:kern w:val="0"/>
                <w:sz w:val="24"/>
                <w:szCs w:val="24"/>
                <w:u w:val="none"/>
                <w:lang w:val="en-US" w:eastAsia="zh-CN"/>
              </w:rPr>
              <w:t>6</w:t>
            </w:r>
            <w:r>
              <w:rPr>
                <w:rFonts w:ascii="宋体" w:eastAsia="宋体" w:cs="宋体" w:hAnsi="宋体" w:hint="eastAsia"/>
                <w:i w:val="0"/>
                <w:color w:val="000000"/>
                <w:kern w:val="0"/>
                <w:sz w:val="24"/>
                <w:szCs w:val="24"/>
                <w:u w:val="none"/>
                <w:lang w:val="en-US" w:eastAsia="zh-CN"/>
              </w:rPr>
              <w:t>个月</w:t>
            </w:r>
          </w:p>
        </w:tc>
      </w:tr>
      <w:tr>
        <w:trPr>
          <w:trHeight w:val="460"/>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17</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保障农民工工资支付方面存在问题,被有关部门予以通报的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w:t>
            </w:r>
            <w:r>
              <w:rPr>
                <w:rFonts w:ascii="宋体" w:cs="宋体" w:hAnsi="宋体" w:hint="eastAsia"/>
                <w:i w:val="0"/>
                <w:color w:val="000000"/>
                <w:kern w:val="0"/>
                <w:sz w:val="24"/>
                <w:szCs w:val="24"/>
                <w:u w:val="none"/>
                <w:lang w:val="en-US" w:eastAsia="zh-CN"/>
              </w:rPr>
              <w:t>20</w:t>
            </w:r>
            <w:r>
              <w:rPr>
                <w:rFonts w:ascii="宋体" w:eastAsia="宋体" w:cs="宋体" w:hAnsi="宋体" w:hint="eastAsia"/>
                <w:i w:val="0"/>
                <w:color w:val="000000"/>
                <w:kern w:val="0"/>
                <w:sz w:val="24"/>
                <w:szCs w:val="24"/>
                <w:u w:val="none"/>
                <w:lang w:val="en-US" w:eastAsia="zh-CN"/>
              </w:rPr>
              <w:t>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cs="宋体" w:hAnsi="宋体" w:hint="eastAsia"/>
                <w:i w:val="0"/>
                <w:color w:val="000000"/>
                <w:kern w:val="0"/>
                <w:sz w:val="24"/>
                <w:szCs w:val="24"/>
                <w:u w:val="none"/>
                <w:lang w:val="en-US" w:eastAsia="zh-CN"/>
              </w:rPr>
              <w:t>12</w:t>
            </w:r>
            <w:r>
              <w:rPr>
                <w:rFonts w:ascii="宋体" w:eastAsia="宋体" w:cs="宋体" w:hAnsi="宋体" w:hint="eastAsia"/>
                <w:i w:val="0"/>
                <w:color w:val="000000"/>
                <w:kern w:val="0"/>
                <w:sz w:val="24"/>
                <w:szCs w:val="24"/>
                <w:u w:val="none"/>
                <w:lang w:val="en-US" w:eastAsia="zh-CN"/>
              </w:rPr>
              <w:t>个月</w:t>
            </w:r>
          </w:p>
        </w:tc>
      </w:tr>
      <w:tr>
        <w:trPr>
          <w:trHeight w:val="1390"/>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18</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招标文件中设置项目负责人（包括工程总承包项目的施工负责人和设计负责人）为评审打分项或设置项目负责人业绩门槛，中标后一年以内更换经评审打分的中标项目负责人,或更换的项目负责人未达招标文件业绩门槛要求</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记20分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cs="宋体" w:hAnsi="宋体" w:hint="eastAsia"/>
                <w:i w:val="0"/>
                <w:color w:val="000000"/>
                <w:kern w:val="0"/>
                <w:sz w:val="24"/>
                <w:szCs w:val="24"/>
                <w:u w:val="none"/>
                <w:lang w:val="en-US" w:eastAsia="zh-CN"/>
              </w:rPr>
              <w:t>12</w:t>
            </w:r>
            <w:r>
              <w:rPr>
                <w:rFonts w:ascii="宋体" w:eastAsia="宋体" w:cs="宋体" w:hAnsi="宋体" w:hint="eastAsia"/>
                <w:i w:val="0"/>
                <w:color w:val="000000"/>
                <w:kern w:val="0"/>
                <w:sz w:val="24"/>
                <w:szCs w:val="24"/>
                <w:u w:val="none"/>
                <w:lang w:val="en-US" w:eastAsia="zh-CN"/>
              </w:rPr>
              <w:t>个月</w:t>
            </w:r>
          </w:p>
        </w:tc>
      </w:tr>
      <w:tr>
        <w:trPr>
          <w:trHeight w:val="799"/>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19</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合同履约过程中提供假冒伪劣产品,或伪造产品参数、检测报告等资料的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w:t>
            </w:r>
            <w:r>
              <w:rPr>
                <w:rFonts w:ascii="宋体" w:cs="宋体" w:hAnsi="宋体" w:hint="eastAsia"/>
                <w:i w:val="0"/>
                <w:color w:val="000000"/>
                <w:kern w:val="0"/>
                <w:sz w:val="24"/>
                <w:szCs w:val="24"/>
                <w:u w:val="none"/>
                <w:lang w:val="en-US" w:eastAsia="zh-CN"/>
              </w:rPr>
              <w:t>25</w:t>
            </w:r>
            <w:r>
              <w:rPr>
                <w:rFonts w:ascii="宋体" w:eastAsia="宋体" w:cs="宋体" w:hAnsi="宋体" w:hint="eastAsia"/>
                <w:i w:val="0"/>
                <w:color w:val="000000"/>
                <w:kern w:val="0"/>
                <w:sz w:val="24"/>
                <w:szCs w:val="24"/>
                <w:u w:val="none"/>
                <w:lang w:val="en-US" w:eastAsia="zh-CN"/>
              </w:rPr>
              <w:t>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1044"/>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20</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发生较大工程质量、安全问题,并被行业主管部门通报的；因质量、安全、人员等问题被行业主管部门书面要求整改,拒不整改或整改不到位的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w:t>
            </w:r>
            <w:r>
              <w:rPr>
                <w:rFonts w:ascii="宋体" w:cs="宋体" w:hAnsi="宋体" w:hint="eastAsia"/>
                <w:i w:val="0"/>
                <w:color w:val="000000"/>
                <w:kern w:val="0"/>
                <w:sz w:val="24"/>
                <w:szCs w:val="24"/>
                <w:u w:val="none"/>
                <w:lang w:val="en-US" w:eastAsia="zh-CN"/>
              </w:rPr>
              <w:t>25</w:t>
            </w:r>
            <w:r>
              <w:rPr>
                <w:rFonts w:ascii="宋体" w:eastAsia="宋体" w:cs="宋体" w:hAnsi="宋体" w:hint="eastAsia"/>
                <w:i w:val="0"/>
                <w:color w:val="000000"/>
                <w:kern w:val="0"/>
                <w:sz w:val="24"/>
                <w:szCs w:val="24"/>
                <w:u w:val="none"/>
                <w:lang w:val="en-US" w:eastAsia="zh-CN"/>
              </w:rPr>
              <w:t>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528"/>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21</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隐瞒施工过程的违法违规行为；虚报工程量和虚增造价的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记25分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765"/>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22</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监理单位与承包单位串通,为承包单位谋取非法利益,给建设单位造成损失的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w:t>
            </w:r>
            <w:r>
              <w:rPr>
                <w:rFonts w:ascii="宋体" w:cs="宋体" w:hAnsi="宋体" w:hint="eastAsia"/>
                <w:i w:val="0"/>
                <w:color w:val="000000"/>
                <w:kern w:val="0"/>
                <w:sz w:val="24"/>
                <w:szCs w:val="24"/>
                <w:u w:val="none"/>
                <w:lang w:val="en-US" w:eastAsia="zh-CN"/>
              </w:rPr>
              <w:t>30</w:t>
            </w:r>
            <w:r>
              <w:rPr>
                <w:rFonts w:ascii="宋体" w:eastAsia="宋体" w:cs="宋体" w:hAnsi="宋体" w:hint="eastAsia"/>
                <w:i w:val="0"/>
                <w:color w:val="000000"/>
                <w:kern w:val="0"/>
                <w:sz w:val="24"/>
                <w:szCs w:val="24"/>
                <w:u w:val="none"/>
                <w:lang w:val="en-US" w:eastAsia="zh-CN"/>
              </w:rPr>
              <w:t>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443"/>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23</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擅自变更、中止或者终止合同的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记30分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494"/>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24</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以行贿等不正当手段谋取非法利益的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w:t>
            </w:r>
            <w:r>
              <w:rPr>
                <w:rFonts w:ascii="宋体" w:cs="宋体" w:hAnsi="宋体" w:hint="eastAsia"/>
                <w:i w:val="0"/>
                <w:color w:val="000000"/>
                <w:kern w:val="0"/>
                <w:sz w:val="24"/>
                <w:szCs w:val="24"/>
                <w:u w:val="none"/>
                <w:lang w:val="en-US" w:eastAsia="zh-CN"/>
              </w:rPr>
              <w:t>35</w:t>
            </w:r>
            <w:r>
              <w:rPr>
                <w:rFonts w:ascii="宋体" w:eastAsia="宋体" w:cs="宋体" w:hAnsi="宋体" w:hint="eastAsia"/>
                <w:i w:val="0"/>
                <w:color w:val="000000"/>
                <w:kern w:val="0"/>
                <w:sz w:val="24"/>
                <w:szCs w:val="24"/>
                <w:u w:val="none"/>
                <w:lang w:val="en-US" w:eastAsia="zh-CN"/>
              </w:rPr>
              <w:t>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732"/>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25</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以其他单位的名义承担工程,或允许其他单位或者个人以本单位的名义承担工程；合同转包、违法分包的</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记40分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12个月</w:t>
            </w:r>
          </w:p>
        </w:tc>
      </w:tr>
      <w:tr>
        <w:trPr>
          <w:trHeight w:val="514"/>
        </w:trPr>
        <w:tc>
          <w:tcPr>
            <w:tcW w:w="8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26</w:t>
            </w:r>
          </w:p>
        </w:tc>
        <w:tc>
          <w:tcPr>
            <w:tcW w:w="6965"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both"/>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在招投标交易和履约过程中其他</w:t>
            </w:r>
            <w:r>
              <w:rPr>
                <w:rFonts w:ascii="宋体" w:cs="宋体" w:hAnsi="宋体" w:hint="eastAsia"/>
                <w:i w:val="0"/>
                <w:color w:val="000000"/>
                <w:kern w:val="0"/>
                <w:sz w:val="24"/>
                <w:szCs w:val="24"/>
                <w:u w:val="none"/>
                <w:lang w:val="en-US" w:eastAsia="zh-CN"/>
              </w:rPr>
              <w:t>不良</w:t>
            </w:r>
            <w:r>
              <w:rPr>
                <w:rFonts w:ascii="宋体" w:eastAsia="宋体" w:cs="宋体" w:hAnsi="宋体" w:hint="eastAsia"/>
                <w:i w:val="0"/>
                <w:color w:val="000000"/>
                <w:kern w:val="0"/>
                <w:sz w:val="24"/>
                <w:szCs w:val="24"/>
                <w:u w:val="none"/>
                <w:lang w:val="en-US" w:eastAsia="zh-CN"/>
              </w:rPr>
              <w:t>行为</w:t>
            </w:r>
          </w:p>
        </w:tc>
        <w:tc>
          <w:tcPr>
            <w:tcW w:w="1449"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视情况记分</w:t>
            </w:r>
          </w:p>
        </w:tc>
        <w:tc>
          <w:tcPr>
            <w:tcW w:w="1214" w:type="dxa"/>
            <w:tcBorders>
              <w:top w:val="single" w:sz="4" w:space="0" w:color="000000"/>
              <w:left w:val="single" w:sz="4" w:space="0" w:color="000000"/>
              <w:bottom w:val="single" w:sz="4" w:space="0" w:color="000000"/>
              <w:right w:val="single" w:sz="4" w:space="0" w:color="000000"/>
            </w:tcBorders>
            <w:noWrap/>
            <w:vAlign w:val="center"/>
          </w:tcPr>
          <w:p>
            <w:pPr>
              <w:keepNext w:val="0"/>
              <w:keepLines w:val="0"/>
              <w:widowControl/>
              <w:suppressLineNumbers w:val="0"/>
              <w:jc w:val="center"/>
              <w:textAlignment w:val="center"/>
              <w:rPr>
                <w:rFonts w:ascii="宋体" w:eastAsia="宋体" w:cs="宋体" w:hAnsi="宋体" w:hint="eastAsia"/>
                <w:i w:val="0"/>
                <w:color w:val="000000"/>
                <w:sz w:val="24"/>
                <w:szCs w:val="24"/>
                <w:u w:val="none"/>
              </w:rPr>
            </w:pPr>
            <w:r>
              <w:rPr>
                <w:rFonts w:ascii="宋体" w:eastAsia="宋体" w:cs="宋体" w:hAnsi="宋体" w:hint="eastAsia"/>
                <w:i w:val="0"/>
                <w:color w:val="000000"/>
                <w:kern w:val="0"/>
                <w:sz w:val="24"/>
                <w:szCs w:val="24"/>
                <w:u w:val="none"/>
                <w:lang w:val="en-US" w:eastAsia="zh-CN"/>
              </w:rPr>
              <w:t>1-12个月</w:t>
            </w:r>
          </w:p>
        </w:tc>
      </w:tr>
    </w:tbl>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Chars="100" w:firstLine="204"/>
        <w:jc w:val="both"/>
        <w:textAlignment w:val="auto"/>
        <w:rPr>
          <w:rFonts w:ascii="仿宋" w:eastAsia="仿宋" w:hAnsi="仿宋" w:hint="eastAsia"/>
          <w:spacing w:val="-10"/>
          <w:w w:val="80"/>
          <w:sz w:val="28"/>
          <w:szCs w:val="28"/>
        </w:rPr>
        <w:sectPr>
          <w:footerReference w:type="default" r:id="rId2"/>
          <w:pgSz w:w="11906" w:h="16838"/>
          <w:pgMar w:top="1440" w:right="1800" w:bottom="1440" w:left="1800" w:header="851" w:footer="992" w:gutter="0"/>
          <w:pgNumType w:fmt="numberInDash"/>
          <w:docGrid w:type="lines" w:linePitch="312" w:charSpace="0"/>
        </w:sectPr>
      </w:pPr>
    </w:p>
    <w:tbl>
      <w:tblPr>
        <w:tblpPr w:leftFromText="180" w:rightFromText="180" w:vertAnchor="text" w:horzAnchor="page" w:tblpX="1739" w:tblpY="13087"/>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34"/>
      </w:tblGrid>
      <w:tr>
        <w:trPr>
          <w:trHeight w:val="633"/>
        </w:trPr>
        <w:tc>
          <w:tcPr>
            <w:tcW w:w="8634" w:type="dxa"/>
            <w:tcBorders>
              <w:left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Chars="100" w:firstLine="204"/>
              <w:jc w:val="both"/>
              <w:textAlignment w:val="auto"/>
              <w:rPr>
                <w:rFonts w:ascii="仿宋" w:eastAsia="仿宋" w:hAnsi="仿宋" w:hint="eastAsia"/>
                <w:spacing w:val="-10"/>
                <w:w w:val="80"/>
                <w:sz w:val="28"/>
                <w:szCs w:val="28"/>
              </w:rPr>
            </w:pPr>
            <w:r>
              <w:rPr>
                <w:rFonts w:ascii="仿宋" w:eastAsia="仿宋" w:hAnsi="仿宋" w:hint="eastAsia"/>
                <w:spacing w:val="-10"/>
                <w:w w:val="80"/>
                <w:sz w:val="28"/>
                <w:szCs w:val="28"/>
              </w:rPr>
              <w:t>温州市政务服务局</w:t>
            </w:r>
            <w:r>
              <w:rPr>
                <w:rFonts w:ascii="仿宋" w:eastAsia="仿宋" w:hAnsi="仿宋" w:hint="eastAsia"/>
                <w:spacing w:val="-10"/>
                <w:w w:val="80"/>
                <w:sz w:val="28"/>
                <w:szCs w:val="28"/>
                <w:lang w:eastAsia="zh-CN"/>
              </w:rPr>
              <w:t>办公室</w:t>
            </w:r>
            <w:r>
              <w:rPr>
                <w:rFonts w:ascii="仿宋" w:eastAsia="仿宋" w:hAnsi="仿宋"/>
                <w:spacing w:val="-10"/>
                <w:w w:val="80"/>
                <w:sz w:val="28"/>
                <w:szCs w:val="28"/>
              </w:rPr>
              <w:t xml:space="preserve">     </w:t>
            </w:r>
            <w:r>
              <w:rPr>
                <w:rFonts w:ascii="仿宋" w:eastAsia="仿宋" w:hAnsi="仿宋" w:hint="eastAsia"/>
                <w:spacing w:val="-10"/>
                <w:w w:val="80"/>
                <w:sz w:val="28"/>
                <w:szCs w:val="28"/>
              </w:rPr>
              <w:t xml:space="preserve">      </w:t>
            </w:r>
            <w:r>
              <w:rPr>
                <w:rFonts w:ascii="仿宋" w:eastAsia="仿宋" w:hAnsi="仿宋" w:hint="eastAsia"/>
                <w:spacing w:val="-10"/>
                <w:w w:val="80"/>
                <w:sz w:val="28"/>
                <w:szCs w:val="28"/>
                <w:lang w:val="en-US" w:eastAsia="zh-CN"/>
              </w:rPr>
              <w:t xml:space="preserve"> </w:t>
            </w:r>
            <w:r>
              <w:rPr>
                <w:rFonts w:ascii="仿宋" w:eastAsia="仿宋" w:hAnsi="仿宋" w:hint="eastAsia"/>
                <w:spacing w:val="-10"/>
                <w:w w:val="80"/>
                <w:sz w:val="28"/>
                <w:szCs w:val="28"/>
              </w:rPr>
              <w:t xml:space="preserve"> </w:t>
            </w:r>
            <w:r>
              <w:rPr>
                <w:rFonts w:ascii="仿宋" w:eastAsia="仿宋" w:hAnsi="仿宋" w:hint="eastAsia"/>
                <w:spacing w:val="-10"/>
                <w:w w:val="80"/>
                <w:sz w:val="28"/>
                <w:szCs w:val="28"/>
                <w:lang w:val="en-US" w:eastAsia="zh-CN"/>
              </w:rPr>
              <w:t xml:space="preserve"> </w:t>
            </w:r>
            <w:r>
              <w:rPr>
                <w:rFonts w:ascii="仿宋" w:eastAsia="仿宋" w:hAnsi="仿宋" w:hint="eastAsia"/>
                <w:spacing w:val="-10"/>
                <w:w w:val="80"/>
                <w:sz w:val="28"/>
                <w:szCs w:val="28"/>
              </w:rPr>
              <w:t xml:space="preserve">   </w:t>
            </w:r>
            <w:r>
              <w:rPr>
                <w:rFonts w:ascii="仿宋" w:eastAsia="仿宋" w:hAnsi="仿宋" w:hint="eastAsia"/>
                <w:spacing w:val="-10"/>
                <w:w w:val="80"/>
                <w:sz w:val="28"/>
                <w:szCs w:val="28"/>
                <w:lang w:val="en-US" w:eastAsia="zh-CN"/>
              </w:rPr>
              <w:t xml:space="preserve"> </w:t>
            </w:r>
            <w:r>
              <w:rPr>
                <w:rFonts w:ascii="仿宋" w:eastAsia="仿宋" w:hAnsi="仿宋" w:hint="eastAsia"/>
                <w:spacing w:val="-10"/>
                <w:w w:val="80"/>
                <w:sz w:val="28"/>
                <w:szCs w:val="28"/>
              </w:rPr>
              <w:t xml:space="preserve">   </w:t>
            </w:r>
            <w:r>
              <w:rPr>
                <w:rFonts w:ascii="仿宋" w:eastAsia="仿宋" w:hAnsi="仿宋" w:hint="eastAsia"/>
                <w:spacing w:val="-10"/>
                <w:w w:val="80"/>
                <w:sz w:val="28"/>
                <w:szCs w:val="28"/>
                <w:lang w:val="en-US" w:eastAsia="zh-CN"/>
              </w:rPr>
              <w:t xml:space="preserve">   </w:t>
            </w:r>
            <w:r>
              <w:rPr>
                <w:rFonts w:ascii="仿宋" w:eastAsia="仿宋" w:hAnsi="仿宋" w:hint="eastAsia"/>
                <w:spacing w:val="-10"/>
                <w:w w:val="80"/>
                <w:sz w:val="28"/>
                <w:szCs w:val="28"/>
              </w:rPr>
              <w:t xml:space="preserve"> </w:t>
            </w:r>
            <w:r>
              <w:rPr>
                <w:rFonts w:ascii="仿宋" w:eastAsia="仿宋" w:hAnsi="仿宋" w:hint="eastAsia"/>
                <w:spacing w:val="-10"/>
                <w:w w:val="80"/>
                <w:sz w:val="28"/>
                <w:szCs w:val="28"/>
                <w:lang w:val="en-US" w:eastAsia="zh-CN"/>
              </w:rPr>
              <w:t xml:space="preserve">            </w:t>
            </w:r>
            <w:r>
              <w:rPr>
                <w:rFonts w:ascii="仿宋" w:eastAsia="仿宋" w:hAnsi="仿宋" w:hint="eastAsia"/>
                <w:spacing w:val="-10"/>
                <w:w w:val="80"/>
                <w:sz w:val="28"/>
                <w:szCs w:val="28"/>
              </w:rPr>
              <w:t xml:space="preserve"> </w:t>
            </w:r>
            <w:r>
              <w:rPr>
                <w:rFonts w:ascii="仿宋" w:eastAsia="仿宋" w:hAnsi="仿宋" w:hint="eastAsia"/>
                <w:spacing w:val="-10"/>
                <w:w w:val="80"/>
                <w:sz w:val="28"/>
                <w:szCs w:val="28"/>
                <w:lang w:val="en-US" w:eastAsia="zh-CN"/>
              </w:rPr>
              <w:t xml:space="preserve">    2023</w:t>
            </w:r>
            <w:r>
              <w:rPr>
                <w:rFonts w:ascii="仿宋" w:eastAsia="仿宋" w:hAnsi="仿宋" w:hint="eastAsia"/>
                <w:spacing w:val="-10"/>
                <w:w w:val="80"/>
                <w:sz w:val="28"/>
                <w:szCs w:val="28"/>
              </w:rPr>
              <w:t>年</w:t>
            </w:r>
            <w:r>
              <w:rPr>
                <w:rFonts w:ascii="仿宋" w:eastAsia="仿宋" w:hAnsi="仿宋" w:hint="eastAsia"/>
                <w:spacing w:val="-10"/>
                <w:w w:val="80"/>
                <w:sz w:val="28"/>
                <w:szCs w:val="28"/>
                <w:lang w:val="en-US" w:eastAsia="zh-CN"/>
              </w:rPr>
              <w:t>6</w:t>
            </w:r>
            <w:r>
              <w:rPr>
                <w:rFonts w:ascii="仿宋" w:eastAsia="仿宋" w:hAnsi="仿宋" w:hint="eastAsia"/>
                <w:spacing w:val="-10"/>
                <w:w w:val="80"/>
                <w:sz w:val="28"/>
                <w:szCs w:val="28"/>
              </w:rPr>
              <w:t>月</w:t>
            </w:r>
            <w:r>
              <w:rPr>
                <w:rFonts w:ascii="仿宋" w:eastAsia="仿宋" w:hAnsi="仿宋" w:hint="eastAsia"/>
                <w:spacing w:val="-10"/>
                <w:w w:val="80"/>
                <w:sz w:val="28"/>
                <w:szCs w:val="28"/>
                <w:lang w:val="en-US" w:eastAsia="zh-CN"/>
              </w:rPr>
              <w:t>20</w:t>
            </w:r>
            <w:r>
              <w:rPr>
                <w:rFonts w:ascii="仿宋" w:eastAsia="仿宋" w:hAnsi="仿宋" w:hint="eastAsia"/>
                <w:spacing w:val="-10"/>
                <w:w w:val="80"/>
                <w:sz w:val="28"/>
                <w:szCs w:val="28"/>
              </w:rPr>
              <w:t>日印发</w:t>
            </w:r>
          </w:p>
        </w:tc>
      </w:tr>
    </w:tbl>
    <w:p>
      <w:pPr>
        <w:widowControl w:val="0"/>
        <w:jc w:val="both"/>
        <w:rPr>
          <w:rFonts w:ascii="仿宋_GB2312" w:eastAsia="仿宋_GB2312" w:cs="仿宋_GB2312" w:hAnsi="仿宋_GB2312" w:hint="eastAsia"/>
          <w:b w:val="0"/>
          <w:bCs w:val="0"/>
          <w:i w:val="0"/>
          <w:caps w:val="0"/>
          <w:smallCaps w:val="0"/>
          <w:color w:val="auto"/>
          <w:spacing w:val="0"/>
          <w:sz w:val="32"/>
          <w:szCs w:val="32"/>
          <w:shd w:val="clear" w:color="auto" w:fill="FFFFFF"/>
          <w:lang w:val="en-US" w:eastAsia="zh-CN"/>
        </w:rPr>
      </w:pPr>
    </w:p>
    <w:p>
      <w:pPr>
        <w:pStyle w:val="16"/>
        <w:pageBreakBefore w:val="0"/>
        <w:widowControl w:val="0"/>
        <w:kinsoku/>
        <w:wordWrap/>
        <w:overflowPunct/>
        <w:topLinePunct w:val="0"/>
        <w:autoSpaceDE/>
        <w:autoSpaceDN/>
        <w:bidi w:val="0"/>
        <w:spacing w:line="560" w:lineRule="exact"/>
        <w:ind w:left="0" w:firstLineChars="0" w:firstLine="0"/>
        <w:textAlignment w:val="auto"/>
        <w:rPr>
          <w:rFonts w:ascii="仿宋" w:eastAsia="仿宋" w:cs="仿宋" w:hAnsi="仿宋" w:hint="eastAsia"/>
          <w:b w:val="0"/>
          <w:bCs w:val="0"/>
          <w:sz w:val="32"/>
          <w:szCs w:val="32"/>
        </w:rPr>
      </w:pPr>
    </w:p>
    <w:sectPr>
      <w:footerReference w:type="default" r:id="rId3"/>
      <w:pgSz w:w="11906" w:h="16838"/>
      <w:pgMar w:top="1440" w:right="1800" w:bottom="1440"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50"/>
    <w:family w:val="auto"/>
    <w:pitch w:val="variable"/>
    <w:sig w:usb0="00000003" w:usb1="288F0000" w:usb2="00000006" w:usb3="00000000" w:csb0="00040001" w:csb1="00000000"/>
  </w:font>
  <w:font w:name="方正小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variable"/>
    <w:sig w:usb0="00000001" w:usb1="080E0000" w:usb2="00000000" w:usb3="00000000" w:csb0="00040000" w:csb1="00000000"/>
  </w:font>
  <w:font w:name="Times New Roman">
    <w:altName w:val="Nimbus Roman No9 L"/>
    <w:panose1 w:val="02020603050405020304"/>
    <w:charset w:val="86"/>
    <w:family w:val="auto"/>
    <w:pitch w:val="variable"/>
    <w:sig w:usb0="00000000" w:usb1="00000000" w:usb2="00000009" w:usb3="00000000" w:csb0="400001FF" w:csb1="FFFF0000"/>
  </w:font>
  <w:font w:name="Arial">
    <w:panose1 w:val="020B0604020202020204"/>
    <w:charset w:val="00"/>
    <w:family w:val="auto"/>
    <w:pitch w:val="variable"/>
    <w:sig w:usb0="00007A87" w:usb1="80000000" w:usb2="00000008" w:usb3="00000000" w:csb0="400001FF" w:csb1="FFFF0000"/>
  </w:font>
  <w:font w:name="Arial Unicode MS">
    <w:altName w:val="Arial"/>
    <w:panose1 w:val="020B0604020000020204"/>
    <w:charset w:val="86"/>
    <w:family w:val="auto"/>
    <w:pitch w:val="variable"/>
    <w:sig w:usb0="00000000" w:usb1="00000000" w:usb2="0000003F" w:usb3="00000000" w:csb0="603F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1" name="文本框 3"/>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2">
                      <w:txbxContent>
                        <w:p>
                          <w:pPr>
                            <w:pStyle w:val="20"/>
                            <w:tabs>
                              <w:tab w:val="center" w:pos="4153"/>
                              <w:tab w:val="right" w:pos="8306"/>
                            </w:tabs>
                          </w:pPr>
                          <w:r>
                            <w:rPr>
                              <w:rFonts w:ascii="宋体" w:eastAsia="宋体" w:cs="宋体" w:hAnsi="宋体" w:hint="eastAsia"/>
                              <w:sz w:val="28"/>
                              <w:szCs w:val="28"/>
                            </w:rPr>
                            <w:fldChar w:fldCharType="begin"/>
                          </w:r>
                          <w:r>
                            <w:rPr>
                              <w:rFonts w:ascii="宋体" w:eastAsia="宋体" w:cs="宋体" w:hAnsi="宋体" w:hint="eastAsia"/>
                              <w:sz w:val="28"/>
                              <w:szCs w:val="28"/>
                            </w:rPr>
                            <w:instrText xml:space="preserve"> PAGE  \* MERGEFORMAT </w:instrText>
                          </w:r>
                          <w:r>
                            <w:rPr>
                              <w:rFonts w:ascii="宋体" w:eastAsia="宋体" w:cs="宋体" w:hAnsi="宋体" w:hint="eastAsia"/>
                              <w:sz w:val="28"/>
                              <w:szCs w:val="28"/>
                            </w:rPr>
                            <w:fldChar w:fldCharType="separate"/>
                          </w:r>
                          <w:r>
                            <w:rPr>
                              <w:rFonts w:ascii="宋体" w:eastAsia="宋体" w:cs="宋体" w:hAnsi="宋体" w:hint="eastAsia"/>
                              <w:sz w:val="28"/>
                              <w:szCs w:val="28"/>
                            </w:rPr>
                            <w:t>- 1 -</w:t>
                          </w:r>
                          <w:r>
                            <w:rPr>
                              <w:rFonts w:ascii="宋体" w:eastAsia="宋体" w:cs="宋体" w:hAnsi="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3 3" o:spid="_x0000_s3" filled="f" stroked="f" strokeweight="0.5pt" style="position:absolute;margin-left:0.0pt;margin-top:0.0pt;width:34.999996pt;height:18.130003pt;z-index:12;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20"/>
                      <w:tabs>
                        <w:tab w:val="center" w:pos="4153"/>
                        <w:tab w:val="right" w:pos="8306"/>
                      </w:tabs>
                    </w:pPr>
                    <w:r>
                      <w:rPr>
                        <w:rFonts w:ascii="宋体" w:eastAsia="宋体" w:cs="宋体" w:hAnsi="宋体" w:hint="eastAsia"/>
                        <w:sz w:val="28"/>
                        <w:szCs w:val="28"/>
                      </w:rPr>
                      <w:fldChar w:fldCharType="begin"/>
                    </w:r>
                    <w:r>
                      <w:rPr>
                        <w:rFonts w:ascii="宋体" w:eastAsia="宋体" w:cs="宋体" w:hAnsi="宋体" w:hint="eastAsia"/>
                        <w:sz w:val="28"/>
                        <w:szCs w:val="28"/>
                      </w:rPr>
                      <w:instrText xml:space="preserve"> PAGE  \* MERGEFORMAT </w:instrText>
                    </w:r>
                    <w:r>
                      <w:rPr>
                        <w:rFonts w:ascii="宋体" w:eastAsia="宋体" w:cs="宋体" w:hAnsi="宋体" w:hint="eastAsia"/>
                        <w:sz w:val="28"/>
                        <w:szCs w:val="28"/>
                      </w:rPr>
                      <w:fldChar w:fldCharType="separate"/>
                    </w:r>
                    <w:r>
                      <w:rPr>
                        <w:rFonts w:ascii="宋体" w:eastAsia="宋体" w:cs="宋体" w:hAnsi="宋体" w:hint="eastAsia"/>
                        <w:sz w:val="28"/>
                        <w:szCs w:val="28"/>
                      </w:rPr>
                      <w:t>- 1 -</w:t>
                    </w:r>
                    <w:r>
                      <w:rPr>
                        <w:rFonts w:ascii="宋体" w:eastAsia="宋体" w:cs="宋体" w:hAnsi="宋体" w:hint="eastAsia"/>
                        <w:sz w:val="28"/>
                        <w:szCs w:val="28"/>
                      </w:rPr>
                      <w:fldChar w:fldCharType="end"/>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5"/>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6" w:lineRule="auto"/>
      <w:outlineLvl w:val="0"/>
    </w:pPr>
    <w:rPr>
      <w:b/>
      <w:kern w:val="44"/>
      <w:sz w:val="44"/>
    </w:rPr>
  </w:style>
  <w:style w:type="paragraph" w:styleId="2">
    <w:name w:val="heading 2"/>
    <w:basedOn w:val="0"/>
    <w:next w:val="15"/>
    <w:pPr>
      <w:keepNext/>
      <w:keepLines/>
      <w:widowControl w:val="0"/>
      <w:spacing w:before="260" w:after="260" w:line="415" w:lineRule="auto"/>
      <w:jc w:val="both"/>
      <w:outlineLvl w:val="1"/>
    </w:pPr>
    <w:rPr>
      <w:rFonts w:ascii="Arial Unicode MS" w:eastAsia="Arial Unicode MS" w:cs="Arial Unicode MS" w:hAnsi="Arial Unicode MS"/>
      <w:b/>
      <w:bCs/>
      <w:color w:val="000000"/>
      <w:kern w:val="2"/>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customStyle="1" w:styleId="15">
    <w:name w:val="正文 A"/>
    <w:basedOn w:val="0"/>
    <w:rPr>
      <w:rFonts w:ascii="Arial Unicode MS" w:eastAsia="Arial Unicode MS" w:cs="Arial Unicode MS" w:hAnsi="Arial Unicode MS"/>
      <w:color w:val="000000"/>
      <w:szCs w:val="21"/>
    </w:rPr>
  </w:style>
  <w:style w:type="paragraph" w:styleId="16">
    <w:name w:val="Normal Indent"/>
    <w:basedOn w:val="0"/>
    <w:pPr>
      <w:ind w:firstLineChars="200" w:firstLine="200"/>
    </w:pPr>
  </w:style>
  <w:style w:type="paragraph" w:styleId="17">
    <w:name w:val="Body Text"/>
    <w:basedOn w:val="0"/>
    <w:next w:val="18"/>
    <w:pPr>
      <w:spacing w:after="120"/>
    </w:pPr>
  </w:style>
  <w:style w:type="paragraph" w:styleId="18">
    <w:name w:val="Body Text First Indent"/>
    <w:basedOn w:val="17"/>
    <w:next w:val="19"/>
    <w:pPr>
      <w:autoSpaceDE w:val="0"/>
      <w:autoSpaceDN w:val="0"/>
      <w:adjustRightInd w:val="0"/>
      <w:ind w:firstLineChars="100" w:firstLine="100"/>
      <w:jc w:val="left"/>
    </w:pPr>
    <w:rPr>
      <w:kern w:val="0"/>
      <w:sz w:val="20"/>
      <w:szCs w:val="20"/>
    </w:rPr>
  </w:style>
  <w:style w:type="paragraph" w:styleId="19">
    <w:name w:val="toc 6"/>
    <w:basedOn w:val="0"/>
    <w:next w:val="0"/>
    <w:pPr>
      <w:ind w:leftChars="1000" w:left="1000"/>
    </w:pPr>
  </w:style>
  <w:style w:type="paragraph" w:styleId="20">
    <w:name w:val="footer"/>
    <w:basedOn w:val="0"/>
    <w:pPr>
      <w:tabs>
        <w:tab w:val="center" w:pos="4153"/>
        <w:tab w:val="right" w:pos="8306"/>
      </w:tabs>
      <w:snapToGrid w:val="0"/>
      <w:jc w:val="left"/>
    </w:pPr>
    <w:rPr>
      <w:sz w:val="18"/>
    </w:rPr>
  </w:style>
  <w:style w:type="paragraph" w:styleId="21">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22">
    <w:name w:val="table of figures"/>
    <w:basedOn w:val="0"/>
    <w:next w:val="0"/>
    <w:pPr>
      <w:ind w:leftChars="200" w:left="400" w:hangingChars="200" w:hanging="200"/>
    </w:pPr>
  </w:style>
  <w:style w:type="paragraph" w:styleId="23">
    <w:name w:val="Normal (Web)"/>
    <w:basedOn w:val="0"/>
    <w:pPr>
      <w:spacing w:before="100" w:beforeAutospacing="1" w:after="100" w:afterAutospacing="1"/>
    </w:pPr>
    <w:rPr>
      <w:rFonts w:ascii="宋体" w:cs="宋体" w:hAnsi="宋体"/>
      <w:sz w:val="24"/>
    </w:rPr>
  </w:style>
  <w:style w:type="paragraph" w:customStyle="1" w:styleId="24">
    <w:name w:val="Char"/>
    <w:pPr>
      <w:widowControl w:val="0"/>
      <w:adjustRightInd w:val="0"/>
      <w:snapToGrid w:val="0"/>
      <w:spacing w:beforeLines="150" w:before="150" w:afterLines="100" w:after="100" w:line="360" w:lineRule="auto"/>
      <w:ind w:firstLineChars="192" w:firstLine="192"/>
      <w:jc w:val="both"/>
    </w:pPr>
    <w:rPr>
      <w:rFonts w:ascii="Times New Roman" w:eastAsia="宋体" w:cs="Times New Roman" w:hAnsi="Times New Roman"/>
      <w:kern w:val="2"/>
      <w:sz w:val="21"/>
      <w:szCs w:val="20"/>
      <w:lang w:val="en-US" w:eastAsia="zh-CN" w:bidi="ar-SA"/>
    </w:rPr>
  </w:style>
  <w:style w:type="paragraph" w:styleId="25">
    <w:name w:val="List Paragraph"/>
    <w:basedOn w:val="0"/>
    <w:pPr>
      <w:ind w:firstLineChars="200" w:firstLine="200"/>
    </w:pPr>
  </w:style>
  <w:style w:type="paragraph" w:customStyle="1" w:styleId="26">
    <w:name w:val="Normal_f4a52919-8fb8-4337-9258-4d34dd58030b"/>
    <w:pPr>
      <w:jc w:val="both"/>
    </w:pPr>
    <w:rPr>
      <w:rFonts w:ascii="Arial Unicode MS" w:eastAsia="宋体" w:cs="Arial Unicode MS" w:hAnsi="Arial Unicode MS"/>
      <w:kern w:val="2"/>
      <w:sz w:val="21"/>
      <w:szCs w:val="21"/>
      <w:lang w:val="en-US" w:eastAsia="zh-CN" w:bidi="ar-SA"/>
    </w:rPr>
  </w:style>
  <w:style w:type="character" w:customStyle="1" w:styleId="27">
    <w:name w:val="无"/>
  </w:style>
  <w:style w:type="character" w:customStyle="1" w:styleId="28">
    <w:name w:val="16"/>
    <w:basedOn w:val="10"/>
    <w:rPr>
      <w:rFonts w:ascii="Times New Roman" w:cs="Times New Roman" w:hAnsi="Times New Roma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customProps>
</customData>
</file>

<file path=customXml/itemProps1.xml><?xml version="1.0" encoding="utf-8"?>
<ds:datastoreItem xmlns:ds="http://schemas.openxmlformats.org/officeDocument/2006/customXml" ds:itemID="{47EF132B-E34F-4E46-A908-C818BB3B459A}">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8</TotalTime>
  <Application>Yozo_Office27021597764231179</Application>
  <Pages>7</Pages>
  <Words>0</Words>
  <Characters>2776</Characters>
  <Lines>0</Lines>
  <Paragraphs>48</Paragraphs>
  <CharactersWithSpaces>3702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ABC</dc:creator>
  <cp:lastModifiedBy>Administrator</cp:lastModifiedBy>
  <cp:revision>3</cp:revision>
  <cp:lastPrinted>2023-06-26T23:43:00Z</cp:lastPrinted>
  <dcterms:created xsi:type="dcterms:W3CDTF">2020-12-25T09:43:00Z</dcterms:created>
  <dcterms:modified xsi:type="dcterms:W3CDTF">2023-10-18T02:55:16Z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2052-11.8.2.1118</vt:lpwstr>
  </property>
  <property fmtid="{D5CDD505-2E9C-101B-9397-08002B2CF9AE}" pid="3" name="ICV">
    <vt:lpwstr>7184B67090AA44DCBA15FD86EEF34125</vt:lpwstr>
  </property>
</Properties>
</file>